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C0B06A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红细胞渗透脆性试验等检测项目外检服务（二次）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51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75"/>
        <w:gridCol w:w="2085"/>
        <w:gridCol w:w="1560"/>
        <w:gridCol w:w="1097"/>
        <w:gridCol w:w="1490"/>
        <w:gridCol w:w="1518"/>
      </w:tblGrid>
      <w:tr w14:paraId="7E20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1" w:type="pct"/>
            <w:gridSpan w:val="2"/>
            <w:tcBorders>
              <w:top w:val="nil"/>
              <w:left w:val="single" w:color="000000" w:sz="4" w:space="0"/>
              <w:bottom w:val="single" w:color="000000" w:sz="4" w:space="0"/>
              <w:right w:val="single" w:color="000000" w:sz="4" w:space="0"/>
            </w:tcBorders>
            <w:shd w:val="clear" w:color="auto" w:fill="auto"/>
            <w:vAlign w:val="center"/>
          </w:tcPr>
          <w:p w14:paraId="2F485D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068" w:type="pct"/>
            <w:gridSpan w:val="2"/>
            <w:tcBorders>
              <w:top w:val="nil"/>
              <w:left w:val="single" w:color="000000" w:sz="4" w:space="0"/>
              <w:bottom w:val="single" w:color="000000" w:sz="4" w:space="0"/>
              <w:right w:val="single" w:color="000000" w:sz="4" w:space="0"/>
            </w:tcBorders>
            <w:shd w:val="clear" w:color="auto" w:fill="auto"/>
            <w:vAlign w:val="center"/>
          </w:tcPr>
          <w:p w14:paraId="1FED3A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项目名称</w:t>
            </w:r>
          </w:p>
        </w:tc>
        <w:tc>
          <w:tcPr>
            <w:tcW w:w="622" w:type="pct"/>
            <w:tcBorders>
              <w:top w:val="nil"/>
              <w:left w:val="single" w:color="000000" w:sz="4" w:space="0"/>
              <w:bottom w:val="single" w:color="000000" w:sz="4" w:space="0"/>
              <w:right w:val="single" w:color="000000" w:sz="4" w:space="0"/>
            </w:tcBorders>
            <w:shd w:val="clear" w:color="auto" w:fill="auto"/>
            <w:vAlign w:val="center"/>
          </w:tcPr>
          <w:p w14:paraId="132D506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49DB27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预估数量</w:t>
            </w:r>
          </w:p>
        </w:tc>
        <w:tc>
          <w:tcPr>
            <w:tcW w:w="861" w:type="pct"/>
            <w:tcBorders>
              <w:top w:val="nil"/>
              <w:left w:val="single" w:color="000000" w:sz="4" w:space="0"/>
              <w:bottom w:val="single" w:color="000000" w:sz="4" w:space="0"/>
              <w:right w:val="single" w:color="000000" w:sz="4" w:space="0"/>
            </w:tcBorders>
            <w:shd w:val="clear" w:color="auto" w:fill="auto"/>
            <w:vAlign w:val="center"/>
          </w:tcPr>
          <w:p w14:paraId="002B011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预算金额</w:t>
            </w:r>
          </w:p>
        </w:tc>
      </w:tr>
      <w:tr w14:paraId="0E0B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1" w:type="pct"/>
            <w:gridSpan w:val="2"/>
            <w:tcBorders>
              <w:top w:val="nil"/>
              <w:left w:val="single" w:color="000000" w:sz="4" w:space="0"/>
              <w:bottom w:val="single" w:color="000000" w:sz="4" w:space="0"/>
              <w:right w:val="single" w:color="000000" w:sz="4" w:space="0"/>
            </w:tcBorders>
            <w:shd w:val="clear" w:color="auto" w:fill="auto"/>
            <w:vAlign w:val="center"/>
          </w:tcPr>
          <w:p w14:paraId="7D835B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068" w:type="pct"/>
            <w:gridSpan w:val="2"/>
            <w:tcBorders>
              <w:top w:val="nil"/>
              <w:left w:val="single" w:color="000000" w:sz="4" w:space="0"/>
              <w:bottom w:val="single" w:color="000000" w:sz="4" w:space="0"/>
              <w:right w:val="single" w:color="000000" w:sz="4" w:space="0"/>
            </w:tcBorders>
            <w:shd w:val="clear" w:color="auto" w:fill="auto"/>
            <w:vAlign w:val="center"/>
          </w:tcPr>
          <w:p w14:paraId="5A46C7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红细胞渗透脆性试验等检测项目</w:t>
            </w:r>
          </w:p>
        </w:tc>
        <w:tc>
          <w:tcPr>
            <w:tcW w:w="622" w:type="pct"/>
            <w:tcBorders>
              <w:top w:val="nil"/>
              <w:left w:val="single" w:color="000000" w:sz="4" w:space="0"/>
              <w:bottom w:val="single" w:color="000000" w:sz="4" w:space="0"/>
              <w:right w:val="single" w:color="000000" w:sz="4" w:space="0"/>
            </w:tcBorders>
            <w:shd w:val="clear" w:color="auto" w:fill="auto"/>
            <w:vAlign w:val="center"/>
          </w:tcPr>
          <w:p w14:paraId="3A3BF2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6B35C2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111</w:t>
            </w:r>
          </w:p>
        </w:tc>
        <w:tc>
          <w:tcPr>
            <w:tcW w:w="861" w:type="pct"/>
            <w:tcBorders>
              <w:top w:val="nil"/>
              <w:left w:val="single" w:color="000000" w:sz="4" w:space="0"/>
              <w:bottom w:val="single" w:color="000000" w:sz="4" w:space="0"/>
              <w:right w:val="single" w:color="000000" w:sz="4" w:space="0"/>
            </w:tcBorders>
            <w:shd w:val="clear" w:color="auto" w:fill="auto"/>
            <w:vAlign w:val="center"/>
          </w:tcPr>
          <w:p w14:paraId="656611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292288</w:t>
            </w:r>
          </w:p>
        </w:tc>
      </w:tr>
      <w:tr w14:paraId="76C3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2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291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预算合计金额</w:t>
            </w:r>
          </w:p>
        </w:tc>
        <w:tc>
          <w:tcPr>
            <w:tcW w:w="17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D6F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292288</w:t>
            </w:r>
          </w:p>
        </w:tc>
      </w:tr>
      <w:tr w14:paraId="0DB2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A35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D20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付款条件</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877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合格率达标按月度工作量据实结算</w:t>
            </w:r>
          </w:p>
        </w:tc>
      </w:tr>
      <w:tr w14:paraId="2478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AB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9DB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F52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一年（年度考核合格可续签，不超三年）</w:t>
            </w:r>
          </w:p>
        </w:tc>
      </w:tr>
      <w:tr w14:paraId="7875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018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201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服务地点</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E59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r w14:paraId="1766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43A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8C0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资质要求</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4E3B8">
            <w:pPr>
              <w:spacing w:line="560" w:lineRule="exact"/>
              <w:rPr>
                <w:rFonts w:hint="eastAsia" w:ascii="宋体" w:hAnsi="宋体" w:eastAsia="宋体" w:cs="宋体"/>
                <w:kern w:val="0"/>
                <w:sz w:val="28"/>
                <w:szCs w:val="28"/>
                <w:lang w:val="en-US" w:eastAsia="zh-CN"/>
              </w:rPr>
            </w:pPr>
            <w:r>
              <w:rPr>
                <w:rFonts w:hint="eastAsia" w:ascii="仿宋" w:hAnsi="仿宋" w:eastAsia="仿宋" w:cs="仿宋"/>
                <w:kern w:val="0"/>
                <w:sz w:val="32"/>
                <w:szCs w:val="32"/>
                <w:lang w:val="en-US" w:eastAsia="zh-CN"/>
              </w:rPr>
              <w:t>投标人</w:t>
            </w:r>
            <w:r>
              <w:rPr>
                <w:rFonts w:ascii="仿宋" w:hAnsi="仿宋" w:eastAsia="仿宋" w:cs="仿宋"/>
                <w:kern w:val="0"/>
                <w:sz w:val="32"/>
                <w:szCs w:val="32"/>
              </w:rPr>
              <w:t>具有</w:t>
            </w:r>
            <w:r>
              <w:rPr>
                <w:rFonts w:hint="eastAsia" w:ascii="仿宋" w:hAnsi="仿宋" w:eastAsia="仿宋" w:cs="仿宋"/>
                <w:kern w:val="0"/>
                <w:sz w:val="32"/>
                <w:szCs w:val="32"/>
                <w:lang w:val="en-US" w:eastAsia="zh-CN"/>
              </w:rPr>
              <w:t>有效的</w:t>
            </w:r>
            <w:r>
              <w:rPr>
                <w:rFonts w:ascii="仿宋" w:hAnsi="仿宋" w:eastAsia="仿宋" w:cs="仿宋"/>
                <w:kern w:val="0"/>
                <w:sz w:val="32"/>
                <w:szCs w:val="32"/>
              </w:rPr>
              <w:t>医疗机构执业许可证，诊疗科目包含医学检验科，注册范围包括但不限于：临床体液血液专业、临床微生物专业、临床生化专业、临床免疫血清学专业、临床细胞分子遗传学专业</w:t>
            </w:r>
            <w:r>
              <w:rPr>
                <w:rFonts w:hint="eastAsia" w:ascii="仿宋" w:hAnsi="仿宋" w:eastAsia="仿宋" w:cs="仿宋"/>
                <w:kern w:val="0"/>
                <w:sz w:val="32"/>
                <w:szCs w:val="32"/>
                <w:lang w:eastAsia="zh-CN"/>
              </w:rPr>
              <w:t>。</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35D196D3">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0E1A62A0">
      <w:pPr>
        <w:numPr>
          <w:ilvl w:val="0"/>
          <w:numId w:val="0"/>
        </w:numPr>
        <w:spacing w:line="560" w:lineRule="exact"/>
        <w:ind w:firstLine="560" w:firstLineChars="200"/>
        <w:jc w:val="left"/>
        <w:rPr>
          <w:rFonts w:hint="eastAsia" w:ascii="宋体" w:hAnsi="宋体" w:eastAsia="宋体" w:cs="宋体"/>
          <w:sz w:val="28"/>
          <w:szCs w:val="28"/>
          <w:lang w:eastAsia="zh" w:bidi="ar"/>
          <w:woUserID w:val="2"/>
        </w:rPr>
      </w:pPr>
      <w:r>
        <w:rPr>
          <w:rFonts w:hint="eastAsia" w:ascii="宋体" w:hAnsi="宋体" w:eastAsia="宋体" w:cs="宋体"/>
          <w:sz w:val="28"/>
          <w:szCs w:val="28"/>
          <w:lang w:eastAsia="zh" w:bidi="ar"/>
          <w:woUserID w:val="2"/>
        </w:rPr>
        <w:t>（一）项目基本情况介绍</w:t>
      </w:r>
    </w:p>
    <w:p w14:paraId="30DB6D7E">
      <w:pPr>
        <w:numPr>
          <w:ilvl w:val="0"/>
          <w:numId w:val="0"/>
        </w:numPr>
        <w:spacing w:line="560" w:lineRule="exact"/>
        <w:ind w:firstLine="560" w:firstLineChars="200"/>
        <w:jc w:val="left"/>
        <w:rPr>
          <w:rFonts w:hint="eastAsia" w:ascii="宋体" w:hAnsi="宋体" w:eastAsia="宋体" w:cs="宋体"/>
          <w:sz w:val="28"/>
          <w:szCs w:val="28"/>
          <w:lang w:eastAsia="zh" w:bidi="ar"/>
          <w:woUserID w:val="2"/>
        </w:rPr>
      </w:pPr>
      <w:r>
        <w:rPr>
          <w:rFonts w:hint="eastAsia" w:ascii="宋体" w:hAnsi="宋体" w:eastAsia="宋体" w:cs="宋体"/>
          <w:sz w:val="28"/>
          <w:szCs w:val="28"/>
          <w:lang w:eastAsia="zh" w:bidi="ar"/>
          <w:woUserID w:val="2"/>
        </w:rPr>
        <w:t>根据内卫办医急字〔2024〕879号《内蒙古自治区卫生健康委办公室关于加强公立医疗机构外送样本检测管理工作</w:t>
      </w:r>
      <w:r>
        <w:rPr>
          <w:rFonts w:hint="eastAsia" w:ascii="宋体" w:hAnsi="宋体" w:eastAsia="宋体" w:cs="宋体"/>
          <w:sz w:val="28"/>
          <w:szCs w:val="28"/>
          <w:lang w:eastAsia="zh-CN" w:bidi="ar"/>
          <w:woUserID w:val="2"/>
        </w:rPr>
        <w:t>的通知</w:t>
      </w:r>
      <w:r>
        <w:rPr>
          <w:rFonts w:hint="eastAsia" w:ascii="宋体" w:hAnsi="宋体" w:eastAsia="宋体" w:cs="宋体"/>
          <w:sz w:val="28"/>
          <w:szCs w:val="28"/>
          <w:lang w:eastAsia="zh" w:bidi="ar"/>
          <w:woUserID w:val="2"/>
        </w:rPr>
        <w:t>》的要求，我院将临床确有诊疗需要，</w:t>
      </w:r>
      <w:r>
        <w:rPr>
          <w:rFonts w:hint="eastAsia" w:ascii="宋体" w:hAnsi="宋体" w:eastAsia="宋体" w:cs="宋体"/>
          <w:sz w:val="28"/>
          <w:szCs w:val="28"/>
          <w:lang w:eastAsia="zh-CN" w:bidi="ar"/>
          <w:woUserID w:val="2"/>
        </w:rPr>
        <w:t>但</w:t>
      </w:r>
      <w:r>
        <w:rPr>
          <w:rFonts w:hint="eastAsia" w:ascii="宋体" w:hAnsi="宋体" w:eastAsia="宋体" w:cs="宋体"/>
          <w:sz w:val="28"/>
          <w:szCs w:val="28"/>
          <w:lang w:eastAsia="zh" w:bidi="ar"/>
          <w:woUserID w:val="2"/>
        </w:rPr>
        <w:t>自身不具备相应资质和能力的样本检测项目，需外送至院外医学检验实验室（以下简称“第三方检测机构”）进行检测的检验项目</w:t>
      </w:r>
      <w:r>
        <w:rPr>
          <w:rFonts w:hint="eastAsia" w:ascii="宋体" w:hAnsi="宋体" w:eastAsia="宋体" w:cs="宋体"/>
          <w:sz w:val="28"/>
          <w:szCs w:val="28"/>
          <w:lang w:eastAsia="zh-CN" w:bidi="ar"/>
          <w:woUserID w:val="2"/>
        </w:rPr>
        <w:t>，纳入</w:t>
      </w:r>
      <w:r>
        <w:rPr>
          <w:rFonts w:hint="eastAsia" w:ascii="宋体" w:hAnsi="宋体" w:eastAsia="宋体" w:cs="宋体"/>
          <w:sz w:val="28"/>
          <w:szCs w:val="28"/>
          <w:lang w:eastAsia="zh" w:bidi="ar"/>
          <w:woUserID w:val="2"/>
        </w:rPr>
        <w:t>外送样本检测项目适用范围。</w:t>
      </w:r>
    </w:p>
    <w:p w14:paraId="7376D392">
      <w:pPr>
        <w:numPr>
          <w:ilvl w:val="0"/>
          <w:numId w:val="0"/>
        </w:numPr>
        <w:spacing w:line="560" w:lineRule="exact"/>
        <w:rPr>
          <w:rFonts w:hint="eastAsia" w:ascii="仿宋" w:hAnsi="仿宋" w:eastAsia="仿宋" w:cs="仿宋"/>
          <w:b/>
          <w:bCs/>
          <w:sz w:val="30"/>
          <w:szCs w:val="30"/>
          <w:lang w:val="en-US" w:eastAsia="zh-CN"/>
        </w:rPr>
      </w:pPr>
      <w:r>
        <w:rPr>
          <w:rFonts w:hint="eastAsia" w:ascii="宋体" w:hAnsi="宋体" w:eastAsia="宋体" w:cs="宋体"/>
          <w:kern w:val="2"/>
          <w:sz w:val="28"/>
          <w:szCs w:val="28"/>
          <w:lang w:val="en-US" w:eastAsia="zh-CN" w:bidi="ar-SA"/>
        </w:rPr>
        <w:t>（二）</w:t>
      </w:r>
      <w:r>
        <w:rPr>
          <w:rFonts w:hint="eastAsia" w:ascii="宋体" w:hAnsi="宋体" w:eastAsia="宋体" w:cs="宋体"/>
          <w:sz w:val="28"/>
          <w:szCs w:val="28"/>
        </w:rPr>
        <w:t>技术参数和要求（功能和质量）</w:t>
      </w:r>
    </w:p>
    <w:tbl>
      <w:tblPr>
        <w:tblStyle w:val="12"/>
        <w:tblW w:w="10198"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772"/>
        <w:gridCol w:w="772"/>
        <w:gridCol w:w="7253"/>
      </w:tblGrid>
      <w:tr w14:paraId="33A9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1401" w:type="dxa"/>
            <w:tcBorders>
              <w:top w:val="single" w:color="auto" w:sz="4" w:space="0"/>
              <w:left w:val="single" w:color="auto" w:sz="4" w:space="0"/>
              <w:bottom w:val="single" w:color="auto" w:sz="4" w:space="0"/>
              <w:right w:val="single" w:color="auto" w:sz="4" w:space="0"/>
            </w:tcBorders>
            <w:vAlign w:val="center"/>
          </w:tcPr>
          <w:p w14:paraId="3BF097BF">
            <w:pPr>
              <w:spacing w:beforeAutospacing="1" w:line="276" w:lineRule="auto"/>
              <w:jc w:val="center"/>
              <w:rPr>
                <w:rFonts w:hint="eastAsia" w:ascii="仿宋" w:hAnsi="仿宋" w:eastAsia="仿宋" w:cs="仿宋"/>
                <w:b/>
                <w:bCs/>
                <w:sz w:val="28"/>
                <w:szCs w:val="28"/>
              </w:rPr>
            </w:pPr>
            <w:r>
              <w:rPr>
                <w:rFonts w:ascii="仿宋" w:hAnsi="仿宋" w:eastAsia="仿宋" w:cs="仿宋"/>
                <w:b/>
                <w:bCs/>
                <w:sz w:val="28"/>
                <w:szCs w:val="28"/>
                <w:lang w:bidi="ar"/>
              </w:rPr>
              <w:t>参数性质</w:t>
            </w:r>
          </w:p>
        </w:tc>
        <w:tc>
          <w:tcPr>
            <w:tcW w:w="772" w:type="dxa"/>
            <w:tcBorders>
              <w:top w:val="single" w:color="auto" w:sz="4" w:space="0"/>
              <w:left w:val="single" w:color="auto" w:sz="4" w:space="0"/>
              <w:bottom w:val="single" w:color="auto" w:sz="4" w:space="0"/>
              <w:right w:val="single" w:color="auto" w:sz="4" w:space="0"/>
            </w:tcBorders>
          </w:tcPr>
          <w:p w14:paraId="723A8DAA">
            <w:pPr>
              <w:spacing w:beforeAutospacing="1" w:line="276" w:lineRule="auto"/>
              <w:jc w:val="center"/>
              <w:rPr>
                <w:rFonts w:ascii="仿宋" w:hAnsi="仿宋" w:eastAsia="仿宋" w:cs="仿宋"/>
                <w:b/>
                <w:bCs/>
                <w:sz w:val="28"/>
                <w:szCs w:val="2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17FA5A73">
            <w:pPr>
              <w:spacing w:beforeAutospacing="1" w:line="276" w:lineRule="auto"/>
              <w:jc w:val="center"/>
              <w:rPr>
                <w:rFonts w:hint="eastAsia" w:ascii="仿宋" w:hAnsi="仿宋" w:eastAsia="仿宋" w:cs="仿宋"/>
                <w:b/>
                <w:bCs/>
                <w:sz w:val="28"/>
                <w:szCs w:val="28"/>
              </w:rPr>
            </w:pPr>
            <w:r>
              <w:rPr>
                <w:rFonts w:ascii="仿宋" w:hAnsi="仿宋" w:eastAsia="仿宋" w:cs="仿宋"/>
                <w:b/>
                <w:bCs/>
                <w:sz w:val="28"/>
                <w:szCs w:val="28"/>
                <w:lang w:bidi="ar"/>
              </w:rPr>
              <w:t>序号</w:t>
            </w:r>
          </w:p>
        </w:tc>
        <w:tc>
          <w:tcPr>
            <w:tcW w:w="7253" w:type="dxa"/>
            <w:tcBorders>
              <w:top w:val="single" w:color="auto" w:sz="4" w:space="0"/>
              <w:left w:val="single" w:color="auto" w:sz="4" w:space="0"/>
              <w:bottom w:val="single" w:color="auto" w:sz="4" w:space="0"/>
              <w:right w:val="single" w:color="auto" w:sz="4" w:space="0"/>
            </w:tcBorders>
            <w:vAlign w:val="center"/>
          </w:tcPr>
          <w:p w14:paraId="7A6C9C01">
            <w:pPr>
              <w:spacing w:beforeAutospacing="1" w:line="276" w:lineRule="auto"/>
              <w:jc w:val="center"/>
              <w:rPr>
                <w:rFonts w:hint="eastAsia" w:ascii="仿宋" w:hAnsi="仿宋" w:eastAsia="仿宋" w:cs="仿宋"/>
                <w:b/>
                <w:bCs/>
                <w:sz w:val="28"/>
                <w:szCs w:val="28"/>
              </w:rPr>
            </w:pPr>
            <w:r>
              <w:rPr>
                <w:rFonts w:ascii="仿宋" w:hAnsi="仿宋" w:eastAsia="仿宋" w:cs="仿宋"/>
                <w:b/>
                <w:bCs/>
                <w:sz w:val="28"/>
                <w:szCs w:val="28"/>
                <w:lang w:bidi="ar"/>
              </w:rPr>
              <w:t>参数</w:t>
            </w:r>
          </w:p>
        </w:tc>
      </w:tr>
      <w:tr w14:paraId="4990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restart"/>
            <w:tcBorders>
              <w:top w:val="single" w:color="auto" w:sz="4" w:space="0"/>
              <w:left w:val="single" w:color="auto" w:sz="4" w:space="0"/>
              <w:right w:val="single" w:color="auto" w:sz="4" w:space="0"/>
            </w:tcBorders>
            <w:vAlign w:val="center"/>
          </w:tcPr>
          <w:p w14:paraId="156A3191">
            <w:pPr>
              <w:spacing w:beforeAutospacing="1" w:line="276" w:lineRule="auto"/>
              <w:jc w:val="left"/>
              <w:rPr>
                <w:rFonts w:hint="eastAsia" w:ascii="仿宋" w:hAnsi="仿宋" w:eastAsia="仿宋" w:cs="仿宋"/>
                <w:sz w:val="24"/>
                <w:szCs w:val="24"/>
              </w:rPr>
            </w:pPr>
            <w:r>
              <w:rPr>
                <w:rFonts w:hint="eastAsia" w:ascii="仿宋" w:hAnsi="仿宋" w:eastAsia="仿宋" w:cs="仿宋"/>
                <w:sz w:val="24"/>
                <w:szCs w:val="24"/>
                <w:lang w:eastAsia="zh" w:bidi="ar"/>
              </w:rPr>
              <w:t>1.</w:t>
            </w:r>
            <w:r>
              <w:rPr>
                <w:rFonts w:hint="eastAsia" w:ascii="仿宋" w:hAnsi="仿宋" w:eastAsia="仿宋" w:cs="仿宋"/>
                <w:sz w:val="24"/>
                <w:szCs w:val="24"/>
                <w:lang w:bidi="ar"/>
              </w:rPr>
              <w:t>服务总体原则</w:t>
            </w:r>
          </w:p>
        </w:tc>
        <w:tc>
          <w:tcPr>
            <w:tcW w:w="772" w:type="dxa"/>
            <w:tcBorders>
              <w:top w:val="single" w:color="auto" w:sz="4" w:space="0"/>
              <w:left w:val="single" w:color="auto" w:sz="4" w:space="0"/>
              <w:right w:val="single" w:color="auto" w:sz="4" w:space="0"/>
            </w:tcBorders>
          </w:tcPr>
          <w:p w14:paraId="4B169A68">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25FC3BAE">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1.1</w:t>
            </w:r>
          </w:p>
        </w:tc>
        <w:tc>
          <w:tcPr>
            <w:tcW w:w="7253" w:type="dxa"/>
            <w:tcBorders>
              <w:top w:val="single" w:color="auto" w:sz="4" w:space="0"/>
              <w:left w:val="single" w:color="auto" w:sz="4" w:space="0"/>
              <w:bottom w:val="single" w:color="auto" w:sz="4" w:space="0"/>
              <w:right w:val="single" w:color="auto" w:sz="4" w:space="0"/>
            </w:tcBorders>
            <w:vAlign w:val="center"/>
          </w:tcPr>
          <w:p w14:paraId="588A37EF">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投标人须严格遵守《医疗机构临床实验室管理办法》《病原微生物实验室生物安全管理条例》、GB/T42186-2022《医学检验生物样本冷链物流运作规范》等国家、省/自治区、行业现行规范及标准。</w:t>
            </w:r>
          </w:p>
        </w:tc>
      </w:tr>
      <w:tr w14:paraId="7E58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4E8C0CC8">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38CB3245">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6DD32E1E">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1.2</w:t>
            </w:r>
          </w:p>
        </w:tc>
        <w:tc>
          <w:tcPr>
            <w:tcW w:w="7253" w:type="dxa"/>
            <w:tcBorders>
              <w:top w:val="single" w:color="auto" w:sz="4" w:space="0"/>
              <w:left w:val="single" w:color="auto" w:sz="4" w:space="0"/>
              <w:bottom w:val="single" w:color="auto" w:sz="4" w:space="0"/>
              <w:right w:val="single" w:color="auto" w:sz="4" w:space="0"/>
            </w:tcBorders>
            <w:vAlign w:val="center"/>
          </w:tcPr>
          <w:p w14:paraId="599D3074">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服务全过程实行闭环管理、全程可追溯，严禁转包、分包、转借检测资质。</w:t>
            </w:r>
          </w:p>
        </w:tc>
      </w:tr>
      <w:tr w14:paraId="766D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bottom w:val="single" w:color="auto" w:sz="4" w:space="0"/>
              <w:right w:val="single" w:color="auto" w:sz="4" w:space="0"/>
            </w:tcBorders>
            <w:vAlign w:val="center"/>
          </w:tcPr>
          <w:p w14:paraId="2DD2AAF0">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4AA9850D">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05F4926E">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1.3</w:t>
            </w:r>
          </w:p>
        </w:tc>
        <w:tc>
          <w:tcPr>
            <w:tcW w:w="7253" w:type="dxa"/>
            <w:tcBorders>
              <w:top w:val="single" w:color="auto" w:sz="4" w:space="0"/>
              <w:left w:val="single" w:color="auto" w:sz="4" w:space="0"/>
              <w:bottom w:val="single" w:color="auto" w:sz="4" w:space="0"/>
              <w:right w:val="single" w:color="auto" w:sz="4" w:space="0"/>
            </w:tcBorders>
            <w:vAlign w:val="center"/>
          </w:tcPr>
          <w:p w14:paraId="12A24641">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所有标本信息、患者资料、检测数据、报告成果所有权归属采购人，投标人仅限本项目服务使用，不得外泄、不得商用。</w:t>
            </w:r>
          </w:p>
        </w:tc>
      </w:tr>
      <w:tr w14:paraId="162A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401" w:type="dxa"/>
            <w:vMerge w:val="restart"/>
            <w:tcBorders>
              <w:top w:val="single" w:color="auto" w:sz="4" w:space="0"/>
              <w:left w:val="single" w:color="auto" w:sz="4" w:space="0"/>
              <w:right w:val="single" w:color="auto" w:sz="4" w:space="0"/>
            </w:tcBorders>
            <w:vAlign w:val="center"/>
          </w:tcPr>
          <w:p w14:paraId="6F34111D">
            <w:pPr>
              <w:spacing w:beforeAutospacing="1" w:line="276" w:lineRule="auto"/>
              <w:jc w:val="left"/>
              <w:rPr>
                <w:rFonts w:hint="eastAsia" w:ascii="仿宋" w:hAnsi="仿宋" w:eastAsia="仿宋" w:cs="仿宋"/>
                <w:sz w:val="24"/>
                <w:szCs w:val="24"/>
              </w:rPr>
            </w:pPr>
            <w:r>
              <w:rPr>
                <w:rFonts w:hint="eastAsia" w:ascii="仿宋" w:hAnsi="仿宋" w:eastAsia="仿宋" w:cs="仿宋"/>
                <w:sz w:val="24"/>
                <w:szCs w:val="24"/>
                <w:lang w:eastAsia="zh" w:bidi="ar"/>
              </w:rPr>
              <w:t>2.</w:t>
            </w:r>
            <w:r>
              <w:rPr>
                <w:rFonts w:ascii="仿宋" w:hAnsi="仿宋" w:eastAsia="仿宋" w:cs="仿宋"/>
                <w:sz w:val="24"/>
                <w:szCs w:val="24"/>
                <w:lang w:bidi="ar"/>
              </w:rPr>
              <w:t>技术服务方案要求</w:t>
            </w:r>
          </w:p>
        </w:tc>
        <w:tc>
          <w:tcPr>
            <w:tcW w:w="772" w:type="dxa"/>
            <w:tcBorders>
              <w:top w:val="single" w:color="auto" w:sz="4" w:space="0"/>
              <w:left w:val="single" w:color="auto" w:sz="4" w:space="0"/>
              <w:right w:val="single" w:color="auto" w:sz="4" w:space="0"/>
            </w:tcBorders>
          </w:tcPr>
          <w:p w14:paraId="23FDC483">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B816D76">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2.1</w:t>
            </w:r>
          </w:p>
        </w:tc>
        <w:tc>
          <w:tcPr>
            <w:tcW w:w="7253" w:type="dxa"/>
            <w:tcBorders>
              <w:top w:val="single" w:color="auto" w:sz="4" w:space="0"/>
              <w:left w:val="single" w:color="auto" w:sz="4" w:space="0"/>
              <w:bottom w:val="single" w:color="auto" w:sz="4" w:space="0"/>
              <w:right w:val="single" w:color="auto" w:sz="4" w:space="0"/>
            </w:tcBorders>
            <w:vAlign w:val="center"/>
          </w:tcPr>
          <w:p w14:paraId="6F511F4E">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项目人员配备：须明确项目组织架构、项目负责人、采样指导人员、物流运输人员、实验室检测人员、质量管控人员、售后对接专职人员配置；明确岗位职责、任职条件、专业资质、在岗值守机制，人员配置满足本项目日常及突发标本外送检测需求。</w:t>
            </w:r>
          </w:p>
        </w:tc>
      </w:tr>
      <w:tr w14:paraId="1D3F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7EA1C5D6">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1C05AFD7">
            <w:pPr>
              <w:spacing w:beforeAutospacing="1" w:line="276" w:lineRule="auto"/>
              <w:jc w:val="center"/>
              <w:rPr>
                <w:rFonts w:hint="eastAsia" w:ascii="仿宋" w:hAnsi="仿宋" w:eastAsia="仿宋" w:cs="仿宋"/>
                <w:sz w:val="24"/>
                <w:szCs w:val="24"/>
                <w:lang w:bidi="ar"/>
              </w:rPr>
            </w:pPr>
            <w:r>
              <w:rPr>
                <w:rFonts w:ascii="仿宋" w:hAnsi="仿宋" w:eastAsia="仿宋" w:cs="仿宋"/>
                <w:sz w:val="24"/>
                <w:szCs w:val="24"/>
                <w:lang w:bidi="ar"/>
              </w:rPr>
              <w:t>★</w:t>
            </w:r>
          </w:p>
        </w:tc>
        <w:tc>
          <w:tcPr>
            <w:tcW w:w="772" w:type="dxa"/>
            <w:tcBorders>
              <w:top w:val="single" w:color="auto" w:sz="4" w:space="0"/>
              <w:left w:val="single" w:color="auto" w:sz="4" w:space="0"/>
              <w:bottom w:val="single" w:color="auto" w:sz="4" w:space="0"/>
              <w:right w:val="single" w:color="auto" w:sz="4" w:space="0"/>
            </w:tcBorders>
            <w:vAlign w:val="center"/>
          </w:tcPr>
          <w:p w14:paraId="1F2F90BD">
            <w:pPr>
              <w:spacing w:beforeAutospacing="1" w:line="276" w:lineRule="auto"/>
              <w:jc w:val="center"/>
              <w:rPr>
                <w:rFonts w:hint="eastAsia" w:ascii="仿宋" w:hAnsi="仿宋" w:eastAsia="仿宋" w:cs="仿宋"/>
                <w:sz w:val="24"/>
                <w:szCs w:val="24"/>
                <w:lang w:bidi="ar"/>
              </w:rPr>
            </w:pPr>
            <w:r>
              <w:rPr>
                <w:rFonts w:hint="eastAsia" w:ascii="仿宋" w:hAnsi="仿宋" w:eastAsia="仿宋" w:cs="仿宋"/>
                <w:sz w:val="24"/>
                <w:szCs w:val="24"/>
                <w:lang w:bidi="ar"/>
              </w:rPr>
              <w:t>2.2</w:t>
            </w:r>
          </w:p>
        </w:tc>
        <w:tc>
          <w:tcPr>
            <w:tcW w:w="7253" w:type="dxa"/>
            <w:tcBorders>
              <w:top w:val="single" w:color="auto" w:sz="4" w:space="0"/>
              <w:left w:val="single" w:color="auto" w:sz="4" w:space="0"/>
              <w:bottom w:val="single" w:color="auto" w:sz="4" w:space="0"/>
              <w:right w:val="single" w:color="auto" w:sz="4" w:space="0"/>
            </w:tcBorders>
            <w:vAlign w:val="center"/>
          </w:tcPr>
          <w:p w14:paraId="7ED06F02">
            <w:pPr>
              <w:spacing w:beforeAutospacing="1" w:line="276" w:lineRule="auto"/>
              <w:jc w:val="left"/>
              <w:rPr>
                <w:rFonts w:ascii="仿宋" w:hAnsi="仿宋" w:eastAsia="仿宋" w:cs="仿宋"/>
                <w:sz w:val="24"/>
                <w:szCs w:val="24"/>
                <w:lang w:bidi="ar"/>
              </w:rPr>
            </w:pPr>
            <w:r>
              <w:rPr>
                <w:rFonts w:ascii="仿宋" w:hAnsi="仿宋" w:eastAsia="仿宋" w:cs="仿宋"/>
                <w:sz w:val="24"/>
                <w:szCs w:val="24"/>
                <w:lang w:bidi="ar"/>
              </w:rPr>
              <w:t>从事染色体核型分析的专业技术人员需具有遗传学培训证书。从事遗传病诊断、产前诊断（细胞分子遗传检测）人员，必须经省级卫健部门考核，取得《母婴保健技术考核合格证书》。</w:t>
            </w:r>
          </w:p>
        </w:tc>
      </w:tr>
      <w:tr w14:paraId="580F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08A868A4">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6A223EBD">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FC30563">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2.</w:t>
            </w:r>
            <w:r>
              <w:rPr>
                <w:rFonts w:hint="eastAsia" w:ascii="仿宋" w:hAnsi="仿宋" w:eastAsia="仿宋" w:cs="仿宋"/>
                <w:sz w:val="24"/>
                <w:szCs w:val="24"/>
                <w:lang w:bidi="ar"/>
              </w:rPr>
              <w:t>3</w:t>
            </w:r>
          </w:p>
        </w:tc>
        <w:tc>
          <w:tcPr>
            <w:tcW w:w="7253" w:type="dxa"/>
            <w:tcBorders>
              <w:top w:val="single" w:color="auto" w:sz="4" w:space="0"/>
              <w:left w:val="single" w:color="auto" w:sz="4" w:space="0"/>
              <w:bottom w:val="single" w:color="auto" w:sz="4" w:space="0"/>
              <w:right w:val="single" w:color="auto" w:sz="4" w:space="0"/>
            </w:tcBorders>
            <w:vAlign w:val="center"/>
          </w:tcPr>
          <w:p w14:paraId="37B28E71">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样本采集规范：制定适配采购人各专业标本的标准化采集操作规程；明确采集前准备、操作流程、标本标识、信息核对、采样耗材标准、不合格标本判定及退回流程，具备现场指导及规范全院采样操作能力。</w:t>
            </w:r>
          </w:p>
        </w:tc>
      </w:tr>
      <w:tr w14:paraId="56EC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401" w:type="dxa"/>
            <w:vMerge w:val="continue"/>
            <w:tcBorders>
              <w:left w:val="single" w:color="auto" w:sz="4" w:space="0"/>
              <w:right w:val="single" w:color="auto" w:sz="4" w:space="0"/>
            </w:tcBorders>
            <w:vAlign w:val="center"/>
          </w:tcPr>
          <w:p w14:paraId="5FD50CB7">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7511C0FD">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0B55B488">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2.</w:t>
            </w:r>
            <w:r>
              <w:rPr>
                <w:rFonts w:hint="eastAsia" w:ascii="仿宋" w:hAnsi="仿宋" w:eastAsia="仿宋" w:cs="仿宋"/>
                <w:sz w:val="24"/>
                <w:szCs w:val="24"/>
                <w:lang w:bidi="ar"/>
              </w:rPr>
              <w:t>4</w:t>
            </w:r>
          </w:p>
        </w:tc>
        <w:tc>
          <w:tcPr>
            <w:tcW w:w="7253" w:type="dxa"/>
            <w:tcBorders>
              <w:top w:val="single" w:color="auto" w:sz="4" w:space="0"/>
              <w:left w:val="single" w:color="auto" w:sz="4" w:space="0"/>
              <w:bottom w:val="single" w:color="auto" w:sz="4" w:space="0"/>
              <w:right w:val="single" w:color="auto" w:sz="4" w:space="0"/>
            </w:tcBorders>
            <w:vAlign w:val="center"/>
          </w:tcPr>
          <w:p w14:paraId="71FB7608">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标本保存：按不同标本类型分类制定保存温度、保存时限、临时存放条件、冷藏/低温设备配置、日常温度监测、记录留存等管理要求；明确超时标本、不合格标本、废弃标本规范处置流程，符合生物安全及院感管理要求。</w:t>
            </w:r>
          </w:p>
        </w:tc>
      </w:tr>
      <w:tr w14:paraId="5C5E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38AF987A">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4D4FF67F">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4379404F">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2.</w:t>
            </w:r>
            <w:r>
              <w:rPr>
                <w:rFonts w:hint="eastAsia" w:ascii="仿宋" w:hAnsi="仿宋" w:eastAsia="仿宋" w:cs="仿宋"/>
                <w:sz w:val="24"/>
                <w:szCs w:val="24"/>
                <w:lang w:bidi="ar"/>
              </w:rPr>
              <w:t>5</w:t>
            </w:r>
          </w:p>
        </w:tc>
        <w:tc>
          <w:tcPr>
            <w:tcW w:w="7253" w:type="dxa"/>
            <w:tcBorders>
              <w:top w:val="single" w:color="auto" w:sz="4" w:space="0"/>
              <w:left w:val="single" w:color="auto" w:sz="4" w:space="0"/>
              <w:bottom w:val="single" w:color="auto" w:sz="4" w:space="0"/>
              <w:right w:val="single" w:color="auto" w:sz="4" w:space="0"/>
            </w:tcBorders>
            <w:vAlign w:val="center"/>
          </w:tcPr>
          <w:p w14:paraId="1DA4F530">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检测工作流程规范：完整制定标本接收、信息核对、标本前处理、上机检测、室内质控、结果复核、报告签发全流程标准作业程序，岗位职责清晰、流程闭环、质量可控。</w:t>
            </w:r>
          </w:p>
        </w:tc>
      </w:tr>
      <w:tr w14:paraId="0044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3FEEF072">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783CC3DC">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4C8B2ADE">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2.</w:t>
            </w:r>
            <w:r>
              <w:rPr>
                <w:rFonts w:hint="eastAsia" w:ascii="仿宋" w:hAnsi="仿宋" w:eastAsia="仿宋" w:cs="仿宋"/>
                <w:sz w:val="24"/>
                <w:szCs w:val="24"/>
                <w:lang w:bidi="ar"/>
              </w:rPr>
              <w:t>6</w:t>
            </w:r>
          </w:p>
        </w:tc>
        <w:tc>
          <w:tcPr>
            <w:tcW w:w="7253" w:type="dxa"/>
            <w:tcBorders>
              <w:top w:val="single" w:color="auto" w:sz="4" w:space="0"/>
              <w:left w:val="single" w:color="auto" w:sz="4" w:space="0"/>
              <w:bottom w:val="single" w:color="auto" w:sz="4" w:space="0"/>
              <w:right w:val="single" w:color="auto" w:sz="4" w:space="0"/>
            </w:tcBorders>
            <w:vAlign w:val="center"/>
          </w:tcPr>
          <w:p w14:paraId="11F85E3E">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发送检测结果报告方法：须提供多渠道报告送达方式：支持 LIS 系统无缝对接、PDF报告推送、官方线上查询平台、纸质报告专人送达等；保障报告传输安全、及时、防篡改、可追溯。</w:t>
            </w:r>
          </w:p>
        </w:tc>
      </w:tr>
      <w:tr w14:paraId="3F4B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bottom w:val="single" w:color="auto" w:sz="4" w:space="0"/>
              <w:right w:val="single" w:color="auto" w:sz="4" w:space="0"/>
            </w:tcBorders>
            <w:vAlign w:val="center"/>
          </w:tcPr>
          <w:p w14:paraId="53172F4C">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0C3E4773">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B7E5FF6">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2.</w:t>
            </w:r>
            <w:r>
              <w:rPr>
                <w:rFonts w:hint="eastAsia" w:ascii="仿宋" w:hAnsi="仿宋" w:eastAsia="仿宋" w:cs="仿宋"/>
                <w:sz w:val="24"/>
                <w:szCs w:val="24"/>
                <w:lang w:bidi="ar"/>
              </w:rPr>
              <w:t>7</w:t>
            </w:r>
          </w:p>
        </w:tc>
        <w:tc>
          <w:tcPr>
            <w:tcW w:w="7253" w:type="dxa"/>
            <w:tcBorders>
              <w:top w:val="single" w:color="auto" w:sz="4" w:space="0"/>
              <w:left w:val="single" w:color="auto" w:sz="4" w:space="0"/>
              <w:bottom w:val="single" w:color="auto" w:sz="4" w:space="0"/>
              <w:right w:val="single" w:color="auto" w:sz="4" w:space="0"/>
            </w:tcBorders>
            <w:vAlign w:val="center"/>
          </w:tcPr>
          <w:p w14:paraId="7A343110">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报告出具时间控制：分别制定常规标本、急诊/特急标本报告出具时限承诺；建立检测进度跟踪、超时预警、延时主动告知、加急绿色通道管控机制，满足临床诊疗时效需求。</w:t>
            </w:r>
          </w:p>
        </w:tc>
      </w:tr>
      <w:tr w14:paraId="5EBE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restart"/>
            <w:tcBorders>
              <w:top w:val="single" w:color="auto" w:sz="4" w:space="0"/>
              <w:left w:val="single" w:color="auto" w:sz="4" w:space="0"/>
              <w:right w:val="single" w:color="auto" w:sz="4" w:space="0"/>
            </w:tcBorders>
            <w:vAlign w:val="center"/>
          </w:tcPr>
          <w:p w14:paraId="40CBEAD4">
            <w:pPr>
              <w:spacing w:beforeAutospacing="1" w:line="276" w:lineRule="auto"/>
              <w:jc w:val="left"/>
              <w:rPr>
                <w:rFonts w:hint="eastAsia" w:ascii="仿宋" w:hAnsi="仿宋" w:eastAsia="仿宋" w:cs="仿宋"/>
                <w:sz w:val="24"/>
                <w:szCs w:val="24"/>
              </w:rPr>
            </w:pPr>
            <w:r>
              <w:rPr>
                <w:rFonts w:hint="eastAsia" w:ascii="仿宋" w:hAnsi="仿宋" w:eastAsia="仿宋" w:cs="仿宋"/>
                <w:sz w:val="24"/>
                <w:szCs w:val="24"/>
                <w:lang w:eastAsia="zh" w:bidi="ar"/>
              </w:rPr>
              <w:t>3.</w:t>
            </w:r>
            <w:r>
              <w:rPr>
                <w:rFonts w:ascii="仿宋" w:hAnsi="仿宋" w:eastAsia="仿宋" w:cs="仿宋"/>
                <w:sz w:val="24"/>
                <w:szCs w:val="24"/>
                <w:lang w:bidi="ar"/>
              </w:rPr>
              <w:t>服务质量保障方案要求</w:t>
            </w:r>
          </w:p>
        </w:tc>
        <w:tc>
          <w:tcPr>
            <w:tcW w:w="772" w:type="dxa"/>
            <w:tcBorders>
              <w:top w:val="single" w:color="auto" w:sz="4" w:space="0"/>
              <w:left w:val="single" w:color="auto" w:sz="4" w:space="0"/>
              <w:right w:val="single" w:color="auto" w:sz="4" w:space="0"/>
            </w:tcBorders>
          </w:tcPr>
          <w:p w14:paraId="780032ED">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69FC8DE5">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3.1</w:t>
            </w:r>
          </w:p>
        </w:tc>
        <w:tc>
          <w:tcPr>
            <w:tcW w:w="7253" w:type="dxa"/>
            <w:tcBorders>
              <w:top w:val="single" w:color="auto" w:sz="4" w:space="0"/>
              <w:left w:val="single" w:color="auto" w:sz="4" w:space="0"/>
              <w:bottom w:val="single" w:color="auto" w:sz="4" w:space="0"/>
              <w:right w:val="single" w:color="auto" w:sz="4" w:space="0"/>
            </w:tcBorders>
            <w:vAlign w:val="center"/>
          </w:tcPr>
          <w:p w14:paraId="18DC83F4">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检测方法方面质量控制：建立常态化室内质控管理制度，严格执行质控规则；按期参加省/自治区、市级临床检验中心室间质评，确保参评项目全部合格，留存完整质控、室间质评记录及整改资料，无室间质评的项目采用替代方案，并保留原始资料。</w:t>
            </w:r>
          </w:p>
        </w:tc>
      </w:tr>
      <w:tr w14:paraId="3A7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5BDD3494">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5AC06D60">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5036E622">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3.2</w:t>
            </w:r>
          </w:p>
        </w:tc>
        <w:tc>
          <w:tcPr>
            <w:tcW w:w="7253" w:type="dxa"/>
            <w:tcBorders>
              <w:top w:val="single" w:color="auto" w:sz="4" w:space="0"/>
              <w:left w:val="single" w:color="auto" w:sz="4" w:space="0"/>
              <w:bottom w:val="single" w:color="auto" w:sz="4" w:space="0"/>
              <w:right w:val="single" w:color="auto" w:sz="4" w:space="0"/>
            </w:tcBorders>
            <w:vAlign w:val="center"/>
          </w:tcPr>
          <w:p w14:paraId="6527946B">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样本方面质量控制：建立标本入库准入审核机制，对溶血、凝血、标本量不足、标识不清、污染、超时送达等不合格标本实行拒收、登记、反馈、退回闭环管理。</w:t>
            </w:r>
          </w:p>
        </w:tc>
      </w:tr>
      <w:tr w14:paraId="733A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534F0ED3">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261021CC">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1AF89B4F">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3.3</w:t>
            </w:r>
          </w:p>
        </w:tc>
        <w:tc>
          <w:tcPr>
            <w:tcW w:w="7253" w:type="dxa"/>
            <w:tcBorders>
              <w:top w:val="single" w:color="auto" w:sz="4" w:space="0"/>
              <w:left w:val="single" w:color="auto" w:sz="4" w:space="0"/>
              <w:bottom w:val="single" w:color="auto" w:sz="4" w:space="0"/>
              <w:right w:val="single" w:color="auto" w:sz="4" w:space="0"/>
            </w:tcBorders>
            <w:vAlign w:val="center"/>
          </w:tcPr>
          <w:p w14:paraId="4E6AD354">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技术人员方面质量控制：建立人员岗前培训、定期技能考核、继续教育及持证上岗制度；关键岗位人员保持稳定，人员变动提前报备采购人。</w:t>
            </w:r>
          </w:p>
        </w:tc>
      </w:tr>
      <w:tr w14:paraId="5678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1A2E06BD">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53987E34">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72C531BC">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3.4</w:t>
            </w:r>
          </w:p>
        </w:tc>
        <w:tc>
          <w:tcPr>
            <w:tcW w:w="7253" w:type="dxa"/>
            <w:tcBorders>
              <w:top w:val="single" w:color="auto" w:sz="4" w:space="0"/>
              <w:left w:val="single" w:color="auto" w:sz="4" w:space="0"/>
              <w:bottom w:val="single" w:color="auto" w:sz="4" w:space="0"/>
              <w:right w:val="single" w:color="auto" w:sz="4" w:space="0"/>
            </w:tcBorders>
            <w:vAlign w:val="center"/>
          </w:tcPr>
          <w:p w14:paraId="1211F887">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检测设备方面质量控制：所有检测仪器、冷链设备具备合法资质证明；建立设备台账、日常维护保养、定期校准检定、故障维修管理制度，留存完整档案记录。</w:t>
            </w:r>
          </w:p>
        </w:tc>
      </w:tr>
      <w:tr w14:paraId="404A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bottom w:val="single" w:color="auto" w:sz="4" w:space="0"/>
              <w:right w:val="single" w:color="auto" w:sz="4" w:space="0"/>
            </w:tcBorders>
            <w:vAlign w:val="center"/>
          </w:tcPr>
          <w:p w14:paraId="58175189">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3A93872F">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119FDC40">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3.5</w:t>
            </w:r>
          </w:p>
        </w:tc>
        <w:tc>
          <w:tcPr>
            <w:tcW w:w="7253" w:type="dxa"/>
            <w:tcBorders>
              <w:top w:val="single" w:color="auto" w:sz="4" w:space="0"/>
              <w:left w:val="single" w:color="auto" w:sz="4" w:space="0"/>
              <w:bottom w:val="single" w:color="auto" w:sz="4" w:space="0"/>
              <w:right w:val="single" w:color="auto" w:sz="4" w:space="0"/>
            </w:tcBorders>
            <w:vAlign w:val="center"/>
          </w:tcPr>
          <w:p w14:paraId="3CD130CF">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标本运输质量控制：建立冷链运输全流程质控体系，运输温度、运行轨迹全程实时监控；转运容器定期消杀、维保；物流人员定期生物安全及操作培训，杜绝标本破损、渗漏、失温、丢失。</w:t>
            </w:r>
          </w:p>
        </w:tc>
      </w:tr>
      <w:tr w14:paraId="641C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restart"/>
            <w:tcBorders>
              <w:top w:val="single" w:color="auto" w:sz="4" w:space="0"/>
              <w:left w:val="single" w:color="auto" w:sz="4" w:space="0"/>
              <w:right w:val="single" w:color="auto" w:sz="4" w:space="0"/>
            </w:tcBorders>
            <w:vAlign w:val="center"/>
          </w:tcPr>
          <w:p w14:paraId="7A8B298C">
            <w:pPr>
              <w:spacing w:beforeAutospacing="1" w:line="276" w:lineRule="auto"/>
              <w:jc w:val="left"/>
              <w:rPr>
                <w:rFonts w:hint="eastAsia" w:ascii="仿宋" w:hAnsi="仿宋" w:eastAsia="仿宋" w:cs="仿宋"/>
                <w:sz w:val="24"/>
                <w:szCs w:val="24"/>
              </w:rPr>
            </w:pPr>
            <w:r>
              <w:rPr>
                <w:rFonts w:hint="eastAsia" w:ascii="仿宋" w:hAnsi="仿宋" w:eastAsia="仿宋" w:cs="仿宋"/>
                <w:sz w:val="24"/>
                <w:szCs w:val="24"/>
                <w:lang w:eastAsia="zh" w:bidi="ar"/>
              </w:rPr>
              <w:t>4.</w:t>
            </w:r>
            <w:r>
              <w:rPr>
                <w:rFonts w:ascii="仿宋" w:hAnsi="仿宋" w:eastAsia="仿宋" w:cs="仿宋"/>
                <w:sz w:val="24"/>
                <w:szCs w:val="24"/>
                <w:lang w:bidi="ar"/>
              </w:rPr>
              <w:t>应急方案要求</w:t>
            </w:r>
          </w:p>
        </w:tc>
        <w:tc>
          <w:tcPr>
            <w:tcW w:w="772" w:type="dxa"/>
            <w:tcBorders>
              <w:top w:val="single" w:color="auto" w:sz="4" w:space="0"/>
              <w:left w:val="single" w:color="auto" w:sz="4" w:space="0"/>
              <w:right w:val="single" w:color="auto" w:sz="4" w:space="0"/>
            </w:tcBorders>
          </w:tcPr>
          <w:p w14:paraId="084B83F7">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47C5DD37">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4.1</w:t>
            </w:r>
          </w:p>
        </w:tc>
        <w:tc>
          <w:tcPr>
            <w:tcW w:w="7253" w:type="dxa"/>
            <w:tcBorders>
              <w:top w:val="single" w:color="auto" w:sz="4" w:space="0"/>
              <w:left w:val="single" w:color="auto" w:sz="4" w:space="0"/>
              <w:bottom w:val="single" w:color="auto" w:sz="4" w:space="0"/>
              <w:right w:val="single" w:color="auto" w:sz="4" w:space="0"/>
            </w:tcBorders>
            <w:vAlign w:val="center"/>
          </w:tcPr>
          <w:p w14:paraId="0CC45C7A">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结果异议应急方案：建立检测结果异议受理、登记、复核、复检、结果反馈、原因分析及整改闭环流程，明确响应时限及处置流程。</w:t>
            </w:r>
          </w:p>
        </w:tc>
      </w:tr>
      <w:tr w14:paraId="1FD4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32399E19">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5EDEA6F3">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677303F0">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4.2</w:t>
            </w:r>
          </w:p>
        </w:tc>
        <w:tc>
          <w:tcPr>
            <w:tcW w:w="7253" w:type="dxa"/>
            <w:tcBorders>
              <w:top w:val="single" w:color="auto" w:sz="4" w:space="0"/>
              <w:left w:val="single" w:color="auto" w:sz="4" w:space="0"/>
              <w:bottom w:val="single" w:color="auto" w:sz="4" w:space="0"/>
              <w:right w:val="single" w:color="auto" w:sz="4" w:space="0"/>
            </w:tcBorders>
            <w:vAlign w:val="center"/>
          </w:tcPr>
          <w:p w14:paraId="426B0CBE">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报告丢失应急方案：制定纸质报告、电子报告丢失/损毁的应急补发、数据备份、系统恢复、溯源核查处置流程。</w:t>
            </w:r>
          </w:p>
        </w:tc>
      </w:tr>
      <w:tr w14:paraId="6C37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3C1193CC">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03C0B6D3">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095FBF19">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4.3</w:t>
            </w:r>
          </w:p>
        </w:tc>
        <w:tc>
          <w:tcPr>
            <w:tcW w:w="7253" w:type="dxa"/>
            <w:tcBorders>
              <w:top w:val="single" w:color="auto" w:sz="4" w:space="0"/>
              <w:left w:val="single" w:color="auto" w:sz="4" w:space="0"/>
              <w:bottom w:val="single" w:color="auto" w:sz="4" w:space="0"/>
              <w:right w:val="single" w:color="auto" w:sz="4" w:space="0"/>
            </w:tcBorders>
            <w:vAlign w:val="center"/>
          </w:tcPr>
          <w:p w14:paraId="3932C839">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售后支持应急方案：设立7×24小时应急售后联络渠道，明确紧急诉求响应时限、现场服务到场时限、问题办结及回访机制。</w:t>
            </w:r>
          </w:p>
        </w:tc>
      </w:tr>
      <w:tr w14:paraId="339E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3A242C9D">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10499C12">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18D05B61">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4.4</w:t>
            </w:r>
          </w:p>
        </w:tc>
        <w:tc>
          <w:tcPr>
            <w:tcW w:w="7253" w:type="dxa"/>
            <w:tcBorders>
              <w:top w:val="single" w:color="auto" w:sz="4" w:space="0"/>
              <w:left w:val="single" w:color="auto" w:sz="4" w:space="0"/>
              <w:bottom w:val="single" w:color="auto" w:sz="4" w:space="0"/>
              <w:right w:val="single" w:color="auto" w:sz="4" w:space="0"/>
            </w:tcBorders>
            <w:vAlign w:val="center"/>
          </w:tcPr>
          <w:p w14:paraId="0C4E51A3">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仪器、分析软件故障维修应急方案：制定检测设备、分析软件突发故障停机应急预案，配置备用设备/备用系统，确保检测业务不中断、报告出具不受影响。</w:t>
            </w:r>
          </w:p>
        </w:tc>
      </w:tr>
      <w:tr w14:paraId="0663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6577C7EB">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3E95D711">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F3D6E31">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4.5</w:t>
            </w:r>
          </w:p>
        </w:tc>
        <w:tc>
          <w:tcPr>
            <w:tcW w:w="7253" w:type="dxa"/>
            <w:tcBorders>
              <w:top w:val="single" w:color="auto" w:sz="4" w:space="0"/>
              <w:left w:val="single" w:color="auto" w:sz="4" w:space="0"/>
              <w:bottom w:val="single" w:color="auto" w:sz="4" w:space="0"/>
              <w:right w:val="single" w:color="auto" w:sz="4" w:space="0"/>
            </w:tcBorders>
            <w:vAlign w:val="center"/>
          </w:tcPr>
          <w:p w14:paraId="32B93641">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特急标本优先加急特事特办服务：开通危重症、急诊标本检测绿色通道，实行专人对接、全程优先处理，明确加急标本最快报告出具时限。</w:t>
            </w:r>
          </w:p>
        </w:tc>
      </w:tr>
      <w:tr w14:paraId="073F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restart"/>
            <w:tcBorders>
              <w:top w:val="single" w:color="auto" w:sz="4" w:space="0"/>
              <w:left w:val="single" w:color="auto" w:sz="4" w:space="0"/>
              <w:right w:val="single" w:color="auto" w:sz="4" w:space="0"/>
            </w:tcBorders>
            <w:vAlign w:val="center"/>
          </w:tcPr>
          <w:p w14:paraId="22776952">
            <w:pPr>
              <w:spacing w:beforeAutospacing="1" w:line="276" w:lineRule="auto"/>
              <w:jc w:val="left"/>
              <w:rPr>
                <w:rFonts w:hint="eastAsia" w:ascii="仿宋" w:hAnsi="仿宋" w:eastAsia="仿宋" w:cs="仿宋"/>
                <w:sz w:val="24"/>
                <w:szCs w:val="24"/>
              </w:rPr>
            </w:pPr>
            <w:r>
              <w:rPr>
                <w:rFonts w:hint="eastAsia" w:ascii="仿宋" w:hAnsi="仿宋" w:eastAsia="仿宋" w:cs="仿宋"/>
                <w:sz w:val="24"/>
                <w:szCs w:val="24"/>
                <w:lang w:eastAsia="zh" w:bidi="ar"/>
              </w:rPr>
              <w:t>5.</w:t>
            </w:r>
            <w:r>
              <w:rPr>
                <w:rFonts w:ascii="仿宋" w:hAnsi="仿宋" w:eastAsia="仿宋" w:cs="仿宋"/>
                <w:sz w:val="24"/>
                <w:szCs w:val="24"/>
                <w:lang w:bidi="ar"/>
              </w:rPr>
              <w:t>安全方案要求</w:t>
            </w:r>
          </w:p>
        </w:tc>
        <w:tc>
          <w:tcPr>
            <w:tcW w:w="772" w:type="dxa"/>
            <w:tcBorders>
              <w:top w:val="single" w:color="auto" w:sz="4" w:space="0"/>
              <w:left w:val="single" w:color="auto" w:sz="4" w:space="0"/>
              <w:right w:val="single" w:color="auto" w:sz="4" w:space="0"/>
            </w:tcBorders>
          </w:tcPr>
          <w:p w14:paraId="62DFE281">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5A103957">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5.1</w:t>
            </w:r>
          </w:p>
        </w:tc>
        <w:tc>
          <w:tcPr>
            <w:tcW w:w="7253" w:type="dxa"/>
            <w:tcBorders>
              <w:top w:val="single" w:color="auto" w:sz="4" w:space="0"/>
              <w:left w:val="single" w:color="auto" w:sz="4" w:space="0"/>
              <w:bottom w:val="single" w:color="auto" w:sz="4" w:space="0"/>
              <w:right w:val="single" w:color="auto" w:sz="4" w:space="0"/>
            </w:tcBorders>
            <w:vAlign w:val="center"/>
          </w:tcPr>
          <w:p w14:paraId="3B74B48B">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配送环境（冷链运输）及运输安全：规范冷链运输包装、生物安全防护、运输路线规划、途中温度管控、突发交通事故/温控异常应急处置措施。</w:t>
            </w:r>
          </w:p>
        </w:tc>
      </w:tr>
      <w:tr w14:paraId="2588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191F8562">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4B7EF750">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694CC1DD">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5.2</w:t>
            </w:r>
          </w:p>
        </w:tc>
        <w:tc>
          <w:tcPr>
            <w:tcW w:w="7253" w:type="dxa"/>
            <w:tcBorders>
              <w:top w:val="single" w:color="auto" w:sz="4" w:space="0"/>
              <w:left w:val="single" w:color="auto" w:sz="4" w:space="0"/>
              <w:bottom w:val="single" w:color="auto" w:sz="4" w:space="0"/>
              <w:right w:val="single" w:color="auto" w:sz="4" w:space="0"/>
            </w:tcBorders>
            <w:vAlign w:val="center"/>
          </w:tcPr>
          <w:p w14:paraId="40B61D24">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样品储存环境安全：标本储存区域实行封闭式门禁管理；储存设备具备温度实时监控、异常报警、断电保护功能；定期环境消杀、安全巡查、生物安全隐患排查。</w:t>
            </w:r>
          </w:p>
        </w:tc>
      </w:tr>
      <w:tr w14:paraId="3BEE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bottom w:val="single" w:color="auto" w:sz="4" w:space="0"/>
              <w:right w:val="single" w:color="auto" w:sz="4" w:space="0"/>
            </w:tcBorders>
            <w:vAlign w:val="center"/>
          </w:tcPr>
          <w:p w14:paraId="0CB2054E">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711504CB">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24822AEC">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5.3</w:t>
            </w:r>
          </w:p>
        </w:tc>
        <w:tc>
          <w:tcPr>
            <w:tcW w:w="7253" w:type="dxa"/>
            <w:tcBorders>
              <w:top w:val="single" w:color="auto" w:sz="4" w:space="0"/>
              <w:left w:val="single" w:color="auto" w:sz="4" w:space="0"/>
              <w:bottom w:val="single" w:color="auto" w:sz="4" w:space="0"/>
              <w:right w:val="single" w:color="auto" w:sz="4" w:space="0"/>
            </w:tcBorders>
            <w:vAlign w:val="center"/>
          </w:tcPr>
          <w:p w14:paraId="30B5724E">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检测团队安全保障及设备安全操作：建立实验室生物安全防护制度，配齐个人防护用品；定期开展生物安全培训、职业暴露应急演练；制定所有仪器设备标准安全操作规程，实行专人持证操作、定期安全检查。</w:t>
            </w:r>
          </w:p>
        </w:tc>
      </w:tr>
      <w:tr w14:paraId="40D0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restart"/>
            <w:tcBorders>
              <w:top w:val="single" w:color="auto" w:sz="4" w:space="0"/>
              <w:left w:val="single" w:color="auto" w:sz="4" w:space="0"/>
              <w:right w:val="single" w:color="auto" w:sz="4" w:space="0"/>
            </w:tcBorders>
            <w:vAlign w:val="center"/>
          </w:tcPr>
          <w:p w14:paraId="5A1168E5">
            <w:pPr>
              <w:spacing w:beforeAutospacing="1" w:line="276" w:lineRule="auto"/>
              <w:jc w:val="left"/>
              <w:rPr>
                <w:rFonts w:hint="eastAsia" w:ascii="仿宋" w:hAnsi="仿宋" w:eastAsia="仿宋" w:cs="仿宋"/>
                <w:sz w:val="24"/>
                <w:szCs w:val="24"/>
              </w:rPr>
            </w:pPr>
            <w:r>
              <w:rPr>
                <w:rFonts w:hint="eastAsia" w:ascii="仿宋" w:hAnsi="仿宋" w:eastAsia="仿宋" w:cs="仿宋"/>
                <w:sz w:val="24"/>
                <w:szCs w:val="24"/>
                <w:lang w:eastAsia="zh" w:bidi="ar"/>
              </w:rPr>
              <w:t>6.</w:t>
            </w:r>
            <w:r>
              <w:rPr>
                <w:rFonts w:ascii="仿宋" w:hAnsi="仿宋" w:eastAsia="仿宋" w:cs="仿宋"/>
                <w:sz w:val="24"/>
                <w:szCs w:val="24"/>
                <w:lang w:bidi="ar"/>
              </w:rPr>
              <w:t>售后服务方案要求</w:t>
            </w:r>
          </w:p>
        </w:tc>
        <w:tc>
          <w:tcPr>
            <w:tcW w:w="772" w:type="dxa"/>
            <w:tcBorders>
              <w:top w:val="single" w:color="auto" w:sz="4" w:space="0"/>
              <w:left w:val="single" w:color="auto" w:sz="4" w:space="0"/>
              <w:right w:val="single" w:color="auto" w:sz="4" w:space="0"/>
            </w:tcBorders>
          </w:tcPr>
          <w:p w14:paraId="30D5327F">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68F20FCD">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6.1</w:t>
            </w:r>
          </w:p>
        </w:tc>
        <w:tc>
          <w:tcPr>
            <w:tcW w:w="7253" w:type="dxa"/>
            <w:tcBorders>
              <w:top w:val="single" w:color="auto" w:sz="4" w:space="0"/>
              <w:left w:val="single" w:color="auto" w:sz="4" w:space="0"/>
              <w:bottom w:val="single" w:color="auto" w:sz="4" w:space="0"/>
              <w:right w:val="single" w:color="auto" w:sz="4" w:space="0"/>
            </w:tcBorders>
            <w:vAlign w:val="center"/>
          </w:tcPr>
          <w:p w14:paraId="295519EB">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服务响应与支持：设立专属项目对接人，建立日常业务咨询、问题投诉、业务协调常态化响应机制，限时办结、事后回访。</w:t>
            </w:r>
          </w:p>
        </w:tc>
      </w:tr>
      <w:tr w14:paraId="4332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0AD5889F">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3C0B2C89">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CE6FDED">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6.2</w:t>
            </w:r>
          </w:p>
        </w:tc>
        <w:tc>
          <w:tcPr>
            <w:tcW w:w="7253" w:type="dxa"/>
            <w:tcBorders>
              <w:top w:val="single" w:color="auto" w:sz="4" w:space="0"/>
              <w:left w:val="single" w:color="auto" w:sz="4" w:space="0"/>
              <w:bottom w:val="single" w:color="auto" w:sz="4" w:space="0"/>
              <w:right w:val="single" w:color="auto" w:sz="4" w:space="0"/>
            </w:tcBorders>
            <w:vAlign w:val="center"/>
          </w:tcPr>
          <w:p w14:paraId="04A82F7D">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服务流程优化承诺：承诺根据采购人临床使用反馈，持续优化标本收取、转运、检测、报告推送全流程服务，主动接受采购人考核监督。</w:t>
            </w:r>
          </w:p>
        </w:tc>
      </w:tr>
      <w:tr w14:paraId="6356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034BF78A">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23F46F73">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14640ED3">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6.3</w:t>
            </w:r>
          </w:p>
        </w:tc>
        <w:tc>
          <w:tcPr>
            <w:tcW w:w="7253" w:type="dxa"/>
            <w:tcBorders>
              <w:top w:val="single" w:color="auto" w:sz="4" w:space="0"/>
              <w:left w:val="single" w:color="auto" w:sz="4" w:space="0"/>
              <w:bottom w:val="single" w:color="auto" w:sz="4" w:space="0"/>
              <w:right w:val="single" w:color="auto" w:sz="4" w:space="0"/>
            </w:tcBorders>
            <w:vAlign w:val="center"/>
          </w:tcPr>
          <w:p w14:paraId="5D997624">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培训与教育：免费为采购人提供常态化培训，包含标本采集规范、保存转运要求、生物安全防护、报告解读、系统操作、院感管理等线上+线下培训及实操指导。</w:t>
            </w:r>
          </w:p>
        </w:tc>
      </w:tr>
      <w:tr w14:paraId="29E2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bottom w:val="single" w:color="auto" w:sz="4" w:space="0"/>
              <w:right w:val="single" w:color="auto" w:sz="4" w:space="0"/>
            </w:tcBorders>
            <w:vAlign w:val="center"/>
          </w:tcPr>
          <w:p w14:paraId="7BA87DA2">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68E9C24D">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09E89E99">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6.4</w:t>
            </w:r>
          </w:p>
        </w:tc>
        <w:tc>
          <w:tcPr>
            <w:tcW w:w="7253" w:type="dxa"/>
            <w:tcBorders>
              <w:top w:val="single" w:color="auto" w:sz="4" w:space="0"/>
              <w:left w:val="single" w:color="auto" w:sz="4" w:space="0"/>
              <w:bottom w:val="single" w:color="auto" w:sz="4" w:space="0"/>
              <w:right w:val="single" w:color="auto" w:sz="4" w:space="0"/>
            </w:tcBorders>
            <w:vAlign w:val="center"/>
          </w:tcPr>
          <w:p w14:paraId="3C19190B">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检验结果科研解释及与医生有效沟通方案：配备专业检验技术团队，为疑难检测结果提供专业解读、科研数据分析支持；建立常态化临床沟通机制，及时解答临床疑问、提供专业技术咨询。</w:t>
            </w:r>
          </w:p>
        </w:tc>
      </w:tr>
      <w:tr w14:paraId="5CC7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restart"/>
            <w:tcBorders>
              <w:top w:val="single" w:color="auto" w:sz="4" w:space="0"/>
              <w:left w:val="single" w:color="auto" w:sz="4" w:space="0"/>
              <w:right w:val="single" w:color="auto" w:sz="4" w:space="0"/>
            </w:tcBorders>
            <w:vAlign w:val="center"/>
          </w:tcPr>
          <w:p w14:paraId="70E57068">
            <w:pPr>
              <w:spacing w:beforeAutospacing="1" w:line="276" w:lineRule="auto"/>
              <w:jc w:val="left"/>
              <w:rPr>
                <w:rFonts w:hint="eastAsia" w:ascii="仿宋" w:hAnsi="仿宋" w:eastAsia="仿宋" w:cs="仿宋"/>
                <w:sz w:val="24"/>
                <w:szCs w:val="24"/>
                <w:lang w:eastAsia="zh"/>
              </w:rPr>
            </w:pPr>
            <w:r>
              <w:rPr>
                <w:rFonts w:hint="eastAsia" w:ascii="仿宋" w:hAnsi="仿宋" w:eastAsia="仿宋" w:cs="仿宋"/>
                <w:sz w:val="24"/>
                <w:szCs w:val="24"/>
                <w:lang w:eastAsia="zh"/>
              </w:rPr>
              <w:t>7.</w:t>
            </w:r>
            <w:r>
              <w:rPr>
                <w:rFonts w:ascii="仿宋" w:hAnsi="仿宋" w:eastAsia="仿宋" w:cs="仿宋"/>
                <w:sz w:val="24"/>
                <w:szCs w:val="24"/>
                <w:lang w:bidi="ar"/>
              </w:rPr>
              <w:t>保密方案要求</w:t>
            </w:r>
          </w:p>
        </w:tc>
        <w:tc>
          <w:tcPr>
            <w:tcW w:w="772" w:type="dxa"/>
            <w:tcBorders>
              <w:top w:val="single" w:color="auto" w:sz="4" w:space="0"/>
              <w:left w:val="single" w:color="auto" w:sz="4" w:space="0"/>
              <w:right w:val="single" w:color="auto" w:sz="4" w:space="0"/>
            </w:tcBorders>
          </w:tcPr>
          <w:p w14:paraId="449139D2">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2D16478F">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7.1</w:t>
            </w:r>
          </w:p>
        </w:tc>
        <w:tc>
          <w:tcPr>
            <w:tcW w:w="7253" w:type="dxa"/>
            <w:tcBorders>
              <w:top w:val="single" w:color="auto" w:sz="4" w:space="0"/>
              <w:left w:val="single" w:color="auto" w:sz="4" w:space="0"/>
              <w:bottom w:val="single" w:color="auto" w:sz="4" w:space="0"/>
              <w:right w:val="single" w:color="auto" w:sz="4" w:space="0"/>
            </w:tcBorders>
            <w:vAlign w:val="center"/>
          </w:tcPr>
          <w:p w14:paraId="4AC40381">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保密管理制度：建立完善患者隐私、标本信息、检测数据、检测报告、科研资料保密管理制度，明确保密范围、责任分工、违规追责机制。</w:t>
            </w:r>
          </w:p>
        </w:tc>
      </w:tr>
      <w:tr w14:paraId="707C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62400DC7">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209AE3DF">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4E5D802E">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7.2</w:t>
            </w:r>
          </w:p>
        </w:tc>
        <w:tc>
          <w:tcPr>
            <w:tcW w:w="7253" w:type="dxa"/>
            <w:tcBorders>
              <w:top w:val="single" w:color="auto" w:sz="4" w:space="0"/>
              <w:left w:val="single" w:color="auto" w:sz="4" w:space="0"/>
              <w:bottom w:val="single" w:color="auto" w:sz="4" w:space="0"/>
              <w:right w:val="single" w:color="auto" w:sz="4" w:space="0"/>
            </w:tcBorders>
            <w:vAlign w:val="center"/>
          </w:tcPr>
          <w:p w14:paraId="740B4C55">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签署保密协议内容：所有接触涉密信息的管理人员、检测人员、物流人员、售后人员须全员签订保密协议，明确保密义务、保密期限及违约责任。</w:t>
            </w:r>
          </w:p>
        </w:tc>
      </w:tr>
      <w:tr w14:paraId="5CEC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6EA5DE9C">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2702C5FE">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6C5A017A">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7.3</w:t>
            </w:r>
          </w:p>
        </w:tc>
        <w:tc>
          <w:tcPr>
            <w:tcW w:w="7253" w:type="dxa"/>
            <w:tcBorders>
              <w:top w:val="single" w:color="auto" w:sz="4" w:space="0"/>
              <w:left w:val="single" w:color="auto" w:sz="4" w:space="0"/>
              <w:bottom w:val="single" w:color="auto" w:sz="4" w:space="0"/>
              <w:right w:val="single" w:color="auto" w:sz="4" w:space="0"/>
            </w:tcBorders>
            <w:vAlign w:val="center"/>
          </w:tcPr>
          <w:p w14:paraId="53F79A6F">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保密培训：定期开展隐私保护、保密法规、信息安全、</w:t>
            </w:r>
            <w:r>
              <w:rPr>
                <w:rFonts w:hint="eastAsia" w:ascii="仿宋" w:hAnsi="仿宋" w:eastAsia="仿宋" w:cs="仿宋"/>
                <w:sz w:val="24"/>
                <w:szCs w:val="24"/>
                <w:lang w:bidi="ar"/>
              </w:rPr>
              <w:t>数据防泄漏</w:t>
            </w:r>
            <w:r>
              <w:rPr>
                <w:rFonts w:ascii="仿宋" w:hAnsi="仿宋" w:eastAsia="仿宋" w:cs="仿宋"/>
                <w:sz w:val="24"/>
                <w:szCs w:val="24"/>
                <w:lang w:bidi="ar"/>
              </w:rPr>
              <w:t>专项培训，培训考核合格后方可上岗。</w:t>
            </w:r>
          </w:p>
        </w:tc>
      </w:tr>
      <w:tr w14:paraId="29C7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bottom w:val="single" w:color="auto" w:sz="4" w:space="0"/>
              <w:right w:val="single" w:color="auto" w:sz="4" w:space="0"/>
            </w:tcBorders>
            <w:vAlign w:val="center"/>
          </w:tcPr>
          <w:p w14:paraId="74C11922">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311DEDE6">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2EEE331A">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7.4</w:t>
            </w:r>
          </w:p>
        </w:tc>
        <w:tc>
          <w:tcPr>
            <w:tcW w:w="7253" w:type="dxa"/>
            <w:tcBorders>
              <w:top w:val="single" w:color="auto" w:sz="4" w:space="0"/>
              <w:left w:val="single" w:color="auto" w:sz="4" w:space="0"/>
              <w:bottom w:val="single" w:color="auto" w:sz="4" w:space="0"/>
              <w:right w:val="single" w:color="auto" w:sz="4" w:space="0"/>
            </w:tcBorders>
            <w:vAlign w:val="center"/>
          </w:tcPr>
          <w:p w14:paraId="032B28C4">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电子信息保密办法：检测系统、数据存储实行分级授权、加密存储、加密传输、操作全程留痕；配置防火墙、数据异地备份、防篡改安全防护措施，严防网络攻击及电子信息外泄。</w:t>
            </w:r>
          </w:p>
        </w:tc>
      </w:tr>
      <w:tr w14:paraId="33B8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restart"/>
            <w:tcBorders>
              <w:top w:val="single" w:color="auto" w:sz="4" w:space="0"/>
              <w:left w:val="single" w:color="auto" w:sz="4" w:space="0"/>
              <w:right w:val="single" w:color="auto" w:sz="4" w:space="0"/>
            </w:tcBorders>
            <w:vAlign w:val="center"/>
          </w:tcPr>
          <w:p w14:paraId="6ACAA845">
            <w:pPr>
              <w:spacing w:beforeAutospacing="1" w:line="276" w:lineRule="auto"/>
              <w:jc w:val="left"/>
              <w:rPr>
                <w:rFonts w:hint="eastAsia" w:ascii="仿宋" w:hAnsi="仿宋" w:eastAsia="仿宋" w:cs="仿宋"/>
                <w:sz w:val="24"/>
                <w:szCs w:val="24"/>
              </w:rPr>
            </w:pPr>
            <w:r>
              <w:rPr>
                <w:rFonts w:hint="eastAsia" w:ascii="仿宋" w:hAnsi="仿宋" w:eastAsia="仿宋" w:cs="仿宋"/>
                <w:sz w:val="24"/>
                <w:szCs w:val="24"/>
                <w:lang w:eastAsia="zh" w:bidi="ar"/>
              </w:rPr>
              <w:t>8.</w:t>
            </w:r>
            <w:r>
              <w:rPr>
                <w:rFonts w:ascii="仿宋" w:hAnsi="仿宋" w:eastAsia="仿宋" w:cs="仿宋"/>
                <w:sz w:val="24"/>
                <w:szCs w:val="24"/>
                <w:lang w:bidi="ar"/>
              </w:rPr>
              <w:t>标本运输专项技术要求</w:t>
            </w:r>
          </w:p>
        </w:tc>
        <w:tc>
          <w:tcPr>
            <w:tcW w:w="772" w:type="dxa"/>
            <w:tcBorders>
              <w:top w:val="single" w:color="auto" w:sz="4" w:space="0"/>
              <w:left w:val="single" w:color="auto" w:sz="4" w:space="0"/>
              <w:right w:val="single" w:color="auto" w:sz="4" w:space="0"/>
            </w:tcBorders>
          </w:tcPr>
          <w:p w14:paraId="7DCD2AB8">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7BA64A23">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8.1</w:t>
            </w:r>
          </w:p>
        </w:tc>
        <w:tc>
          <w:tcPr>
            <w:tcW w:w="7253" w:type="dxa"/>
            <w:tcBorders>
              <w:top w:val="single" w:color="auto" w:sz="4" w:space="0"/>
              <w:left w:val="single" w:color="auto" w:sz="4" w:space="0"/>
              <w:bottom w:val="single" w:color="auto" w:sz="4" w:space="0"/>
              <w:right w:val="single" w:color="auto" w:sz="4" w:space="0"/>
            </w:tcBorders>
            <w:vAlign w:val="center"/>
          </w:tcPr>
          <w:p w14:paraId="35771049">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冷链箱智能功能要求：投标方所用物流标本箱须具备GPS定位+温度全程实时监控功能，可实现位置及温度全程实时监测、异常报警、历史数据可溯源；须提供相关功能证明、实物图片及系统截图并加盖公章。</w:t>
            </w:r>
          </w:p>
        </w:tc>
      </w:tr>
      <w:tr w14:paraId="217E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right w:val="single" w:color="auto" w:sz="4" w:space="0"/>
            </w:tcBorders>
            <w:vAlign w:val="center"/>
          </w:tcPr>
          <w:p w14:paraId="48F2F087">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148D69E6">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2B025511">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8.2</w:t>
            </w:r>
          </w:p>
        </w:tc>
        <w:tc>
          <w:tcPr>
            <w:tcW w:w="7253" w:type="dxa"/>
            <w:tcBorders>
              <w:top w:val="single" w:color="auto" w:sz="4" w:space="0"/>
              <w:left w:val="single" w:color="auto" w:sz="4" w:space="0"/>
              <w:bottom w:val="single" w:color="auto" w:sz="4" w:space="0"/>
              <w:right w:val="single" w:color="auto" w:sz="4" w:space="0"/>
            </w:tcBorders>
            <w:vAlign w:val="center"/>
          </w:tcPr>
          <w:p w14:paraId="138647D8">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道路运输资质要求：投标人须具备有效《道路运输经营许可证》及匹配的专用标本运输车辆；须提供行驶证、道路运输经营许可证复印件并加盖公章。</w:t>
            </w:r>
          </w:p>
        </w:tc>
      </w:tr>
      <w:tr w14:paraId="71EF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19B2CFD0">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5F4C8FFA">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7BDB30E8">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8.3</w:t>
            </w:r>
          </w:p>
        </w:tc>
        <w:tc>
          <w:tcPr>
            <w:tcW w:w="7253" w:type="dxa"/>
            <w:tcBorders>
              <w:top w:val="single" w:color="auto" w:sz="4" w:space="0"/>
              <w:left w:val="single" w:color="auto" w:sz="4" w:space="0"/>
              <w:bottom w:val="single" w:color="auto" w:sz="4" w:space="0"/>
              <w:right w:val="single" w:color="auto" w:sz="4" w:space="0"/>
            </w:tcBorders>
            <w:vAlign w:val="center"/>
          </w:tcPr>
          <w:p w14:paraId="22F02606">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国标达标资质要求：投标人须为GB/T42186-2022《医学检验生物样本冷链物流运作规范》国家标准达标企业，</w:t>
            </w:r>
            <w:r>
              <w:rPr>
                <w:rFonts w:hint="eastAsia" w:ascii="仿宋" w:hAnsi="仿宋" w:eastAsia="仿宋" w:cs="仿宋"/>
                <w:sz w:val="24"/>
                <w:szCs w:val="24"/>
                <w:lang w:bidi="ar"/>
              </w:rPr>
              <w:t>并</w:t>
            </w:r>
            <w:r>
              <w:rPr>
                <w:rFonts w:ascii="仿宋" w:hAnsi="仿宋" w:eastAsia="仿宋" w:cs="仿宋"/>
                <w:sz w:val="24"/>
                <w:szCs w:val="24"/>
                <w:lang w:bidi="ar"/>
              </w:rPr>
              <w:t>提供有效证明文件。</w:t>
            </w:r>
          </w:p>
        </w:tc>
      </w:tr>
      <w:tr w14:paraId="1945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1" w:type="dxa"/>
            <w:vMerge w:val="continue"/>
            <w:tcBorders>
              <w:left w:val="single" w:color="auto" w:sz="4" w:space="0"/>
              <w:bottom w:val="single" w:color="auto" w:sz="4" w:space="0"/>
              <w:right w:val="single" w:color="auto" w:sz="4" w:space="0"/>
            </w:tcBorders>
            <w:vAlign w:val="center"/>
          </w:tcPr>
          <w:p w14:paraId="0CA13914">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015DB525">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20177ED2">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8.4</w:t>
            </w:r>
          </w:p>
        </w:tc>
        <w:tc>
          <w:tcPr>
            <w:tcW w:w="7253" w:type="dxa"/>
            <w:tcBorders>
              <w:top w:val="single" w:color="auto" w:sz="4" w:space="0"/>
              <w:left w:val="single" w:color="auto" w:sz="4" w:space="0"/>
              <w:bottom w:val="single" w:color="auto" w:sz="4" w:space="0"/>
              <w:right w:val="single" w:color="auto" w:sz="4" w:space="0"/>
            </w:tcBorders>
            <w:vAlign w:val="center"/>
          </w:tcPr>
          <w:p w14:paraId="40690DDD">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标本管理与物流服务：标本采集、标本收取、标本冷链转运、交接签收、物流人员培训、异常情况处置等全部内容；投标文件须附运输专用容器实物图片、全程电子监控系统截图及文字说明，全部加盖公章。</w:t>
            </w:r>
          </w:p>
        </w:tc>
      </w:tr>
      <w:tr w14:paraId="3513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restart"/>
            <w:tcBorders>
              <w:top w:val="single" w:color="auto" w:sz="4" w:space="0"/>
              <w:left w:val="single" w:color="auto" w:sz="4" w:space="0"/>
              <w:right w:val="single" w:color="auto" w:sz="4" w:space="0"/>
            </w:tcBorders>
            <w:vAlign w:val="center"/>
          </w:tcPr>
          <w:p w14:paraId="211930C4">
            <w:pPr>
              <w:spacing w:beforeAutospacing="1" w:line="276" w:lineRule="auto"/>
              <w:jc w:val="left"/>
              <w:rPr>
                <w:rFonts w:hint="eastAsia" w:ascii="仿宋" w:hAnsi="仿宋" w:eastAsia="仿宋" w:cs="仿宋"/>
                <w:sz w:val="24"/>
                <w:szCs w:val="24"/>
                <w:lang w:eastAsia="zh"/>
              </w:rPr>
            </w:pPr>
            <w:r>
              <w:rPr>
                <w:rFonts w:hint="eastAsia" w:ascii="仿宋" w:hAnsi="仿宋" w:eastAsia="仿宋" w:cs="仿宋"/>
                <w:sz w:val="24"/>
                <w:szCs w:val="24"/>
                <w:lang w:eastAsia="zh"/>
              </w:rPr>
              <w:t>9.</w:t>
            </w:r>
            <w:r>
              <w:rPr>
                <w:rFonts w:ascii="仿宋" w:hAnsi="仿宋" w:eastAsia="仿宋" w:cs="仿宋"/>
                <w:color w:val="000000"/>
                <w:sz w:val="24"/>
                <w:szCs w:val="24"/>
                <w:lang w:bidi="ar"/>
              </w:rPr>
              <w:t>商务资质、业绩及实力</w:t>
            </w:r>
          </w:p>
        </w:tc>
        <w:tc>
          <w:tcPr>
            <w:tcW w:w="772" w:type="dxa"/>
            <w:tcBorders>
              <w:top w:val="single" w:color="auto" w:sz="4" w:space="0"/>
              <w:left w:val="single" w:color="auto" w:sz="4" w:space="0"/>
              <w:right w:val="single" w:color="auto" w:sz="4" w:space="0"/>
            </w:tcBorders>
          </w:tcPr>
          <w:p w14:paraId="703BE2EF">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5E709077">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9.1</w:t>
            </w:r>
          </w:p>
        </w:tc>
        <w:tc>
          <w:tcPr>
            <w:tcW w:w="7253" w:type="dxa"/>
            <w:tcBorders>
              <w:top w:val="single" w:color="auto" w:sz="4" w:space="0"/>
              <w:left w:val="single" w:color="auto" w:sz="4" w:space="0"/>
              <w:bottom w:val="single" w:color="auto" w:sz="4" w:space="0"/>
              <w:right w:val="single" w:color="auto" w:sz="4" w:space="0"/>
            </w:tcBorders>
            <w:vAlign w:val="center"/>
          </w:tcPr>
          <w:p w14:paraId="1F630717">
            <w:pPr>
              <w:spacing w:beforeAutospacing="1" w:line="276" w:lineRule="auto"/>
              <w:jc w:val="left"/>
              <w:rPr>
                <w:rFonts w:hint="eastAsia" w:ascii="仿宋" w:hAnsi="仿宋" w:eastAsia="仿宋" w:cs="仿宋"/>
                <w:color w:val="000000"/>
                <w:sz w:val="24"/>
                <w:szCs w:val="24"/>
              </w:rPr>
            </w:pPr>
            <w:r>
              <w:rPr>
                <w:rFonts w:ascii="仿宋" w:hAnsi="仿宋" w:eastAsia="仿宋" w:cs="仿宋"/>
                <w:color w:val="000000"/>
                <w:sz w:val="24"/>
                <w:szCs w:val="24"/>
                <w:lang w:bidi="ar"/>
              </w:rPr>
              <w:t>项目业绩：投标人近三年（自投标截止时间倒算）须具有同类检验标本外送检测服务项目业绩。</w:t>
            </w:r>
          </w:p>
        </w:tc>
      </w:tr>
      <w:tr w14:paraId="2AE0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401" w:type="dxa"/>
            <w:vMerge w:val="continue"/>
            <w:tcBorders>
              <w:left w:val="single" w:color="auto" w:sz="4" w:space="0"/>
              <w:bottom w:val="single" w:color="auto" w:sz="4" w:space="0"/>
              <w:right w:val="single" w:color="auto" w:sz="4" w:space="0"/>
            </w:tcBorders>
            <w:vAlign w:val="center"/>
          </w:tcPr>
          <w:p w14:paraId="50BB5E4F">
            <w:pPr>
              <w:spacing w:beforeAutospacing="1" w:line="276" w:lineRule="auto"/>
              <w:jc w:val="center"/>
              <w:rPr>
                <w:rFonts w:hint="eastAsia" w:ascii="仿宋" w:hAnsi="仿宋" w:eastAsia="仿宋" w:cs="仿宋"/>
                <w:sz w:val="24"/>
                <w:szCs w:val="24"/>
              </w:rPr>
            </w:pPr>
          </w:p>
        </w:tc>
        <w:tc>
          <w:tcPr>
            <w:tcW w:w="772" w:type="dxa"/>
            <w:tcBorders>
              <w:left w:val="single" w:color="auto" w:sz="4" w:space="0"/>
              <w:bottom w:val="single" w:color="auto" w:sz="4" w:space="0"/>
              <w:right w:val="single" w:color="auto" w:sz="4" w:space="0"/>
            </w:tcBorders>
          </w:tcPr>
          <w:p w14:paraId="29AA848F">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F1DCCA6">
            <w:pPr>
              <w:spacing w:beforeAutospacing="1" w:line="276" w:lineRule="auto"/>
              <w:jc w:val="center"/>
              <w:rPr>
                <w:rFonts w:hint="eastAsia" w:ascii="仿宋" w:hAnsi="仿宋" w:eastAsia="仿宋" w:cs="仿宋"/>
                <w:sz w:val="24"/>
                <w:szCs w:val="24"/>
                <w:lang w:eastAsia="zh"/>
              </w:rPr>
            </w:pPr>
            <w:r>
              <w:rPr>
                <w:rFonts w:ascii="仿宋" w:hAnsi="仿宋" w:eastAsia="仿宋" w:cs="仿宋"/>
                <w:sz w:val="24"/>
                <w:szCs w:val="24"/>
                <w:lang w:bidi="ar"/>
              </w:rPr>
              <w:t>9.</w:t>
            </w:r>
            <w:r>
              <w:rPr>
                <w:rFonts w:hint="eastAsia" w:ascii="仿宋" w:hAnsi="仿宋" w:eastAsia="仿宋" w:cs="仿宋"/>
                <w:sz w:val="24"/>
                <w:szCs w:val="24"/>
                <w:lang w:eastAsia="zh" w:bidi="ar"/>
              </w:rPr>
              <w:t>2</w:t>
            </w:r>
          </w:p>
        </w:tc>
        <w:tc>
          <w:tcPr>
            <w:tcW w:w="7253" w:type="dxa"/>
            <w:tcBorders>
              <w:top w:val="single" w:color="auto" w:sz="4" w:space="0"/>
              <w:left w:val="single" w:color="auto" w:sz="4" w:space="0"/>
              <w:bottom w:val="single" w:color="auto" w:sz="4" w:space="0"/>
              <w:right w:val="single" w:color="auto" w:sz="4" w:space="0"/>
            </w:tcBorders>
            <w:vAlign w:val="center"/>
          </w:tcPr>
          <w:p w14:paraId="7540CEDF">
            <w:pPr>
              <w:jc w:val="left"/>
              <w:rPr>
                <w:rFonts w:hint="eastAsia" w:ascii="仿宋" w:hAnsi="仿宋" w:eastAsia="仿宋" w:cs="仿宋"/>
                <w:sz w:val="24"/>
                <w:szCs w:val="24"/>
                <w:lang w:bidi="ar"/>
              </w:rPr>
            </w:pPr>
            <w:r>
              <w:rPr>
                <w:rFonts w:ascii="仿宋" w:hAnsi="仿宋" w:eastAsia="仿宋" w:cs="仿宋"/>
                <w:sz w:val="24"/>
                <w:szCs w:val="24"/>
                <w:lang w:bidi="ar"/>
              </w:rPr>
              <w:t>实验室及企业实力认证：</w:t>
            </w:r>
          </w:p>
          <w:p w14:paraId="524D47A8">
            <w:pPr>
              <w:jc w:val="left"/>
              <w:rPr>
                <w:rFonts w:hint="eastAsia" w:ascii="仿宋" w:hAnsi="仿宋" w:eastAsia="仿宋" w:cs="仿宋"/>
                <w:sz w:val="24"/>
                <w:szCs w:val="24"/>
              </w:rPr>
            </w:pPr>
            <w:r>
              <w:rPr>
                <w:rFonts w:ascii="仿宋" w:hAnsi="仿宋" w:eastAsia="仿宋" w:cs="仿宋"/>
                <w:sz w:val="24"/>
                <w:szCs w:val="24"/>
                <w:lang w:bidi="ar"/>
              </w:rPr>
              <w:t>供应商实验室具备有效期内P2实验室能力认证证书；</w:t>
            </w:r>
          </w:p>
          <w:p w14:paraId="79C2E19A">
            <w:pPr>
              <w:jc w:val="left"/>
              <w:rPr>
                <w:rFonts w:hint="eastAsia" w:ascii="仿宋" w:hAnsi="仿宋" w:eastAsia="仿宋" w:cs="仿宋"/>
                <w:sz w:val="24"/>
                <w:szCs w:val="24"/>
              </w:rPr>
            </w:pPr>
            <w:r>
              <w:rPr>
                <w:rFonts w:ascii="仿宋" w:hAnsi="仿宋" w:eastAsia="仿宋" w:cs="仿宋"/>
                <w:sz w:val="24"/>
                <w:szCs w:val="24"/>
                <w:lang w:bidi="ar"/>
              </w:rPr>
              <w:t>供应商具备</w:t>
            </w:r>
            <w:r>
              <w:rPr>
                <w:rFonts w:hint="eastAsia" w:ascii="仿宋" w:hAnsi="仿宋" w:eastAsia="仿宋" w:cs="仿宋"/>
                <w:sz w:val="24"/>
                <w:szCs w:val="24"/>
                <w:lang w:bidi="ar"/>
              </w:rPr>
              <w:t>检验</w:t>
            </w:r>
            <w:r>
              <w:rPr>
                <w:rFonts w:ascii="仿宋" w:hAnsi="仿宋" w:eastAsia="仿宋" w:cs="仿宋"/>
                <w:sz w:val="24"/>
                <w:szCs w:val="24"/>
                <w:lang w:bidi="ar"/>
              </w:rPr>
              <w:t>ISO</w:t>
            </w:r>
            <w:r>
              <w:rPr>
                <w:rFonts w:hint="eastAsia" w:ascii="仿宋" w:hAnsi="仿宋" w:eastAsia="仿宋" w:cs="仿宋"/>
                <w:sz w:val="24"/>
                <w:szCs w:val="24"/>
                <w:lang w:bidi="ar"/>
              </w:rPr>
              <w:t xml:space="preserve"> </w:t>
            </w:r>
            <w:r>
              <w:rPr>
                <w:rFonts w:ascii="仿宋" w:hAnsi="仿宋" w:eastAsia="仿宋" w:cs="仿宋"/>
                <w:sz w:val="24"/>
                <w:szCs w:val="24"/>
                <w:lang w:bidi="ar"/>
              </w:rPr>
              <w:t>15189质量管理体系认证证书；</w:t>
            </w:r>
          </w:p>
          <w:p w14:paraId="4455CE86">
            <w:pPr>
              <w:jc w:val="left"/>
              <w:rPr>
                <w:rFonts w:hint="eastAsia" w:ascii="仿宋" w:hAnsi="仿宋" w:eastAsia="仿宋" w:cs="仿宋"/>
                <w:sz w:val="24"/>
                <w:szCs w:val="24"/>
              </w:rPr>
            </w:pPr>
            <w:r>
              <w:rPr>
                <w:rFonts w:ascii="仿宋" w:hAnsi="仿宋" w:eastAsia="仿宋" w:cs="仿宋"/>
                <w:sz w:val="24"/>
                <w:szCs w:val="24"/>
                <w:lang w:bidi="ar"/>
              </w:rPr>
              <w:t>供应商具备3A及以上信用评级证书，提供原件扫描件。</w:t>
            </w:r>
          </w:p>
        </w:tc>
      </w:tr>
      <w:tr w14:paraId="0E3F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restart"/>
            <w:tcBorders>
              <w:top w:val="single" w:color="auto" w:sz="4" w:space="0"/>
              <w:left w:val="single" w:color="auto" w:sz="4" w:space="0"/>
              <w:right w:val="single" w:color="auto" w:sz="4" w:space="0"/>
            </w:tcBorders>
            <w:vAlign w:val="center"/>
          </w:tcPr>
          <w:p w14:paraId="0E58578A">
            <w:pPr>
              <w:spacing w:beforeAutospacing="1" w:line="276" w:lineRule="auto"/>
              <w:jc w:val="left"/>
              <w:rPr>
                <w:rFonts w:hint="eastAsia" w:ascii="仿宋" w:hAnsi="仿宋" w:eastAsia="仿宋" w:cs="仿宋"/>
                <w:sz w:val="24"/>
                <w:szCs w:val="24"/>
                <w:lang w:eastAsia="zh"/>
              </w:rPr>
            </w:pPr>
            <w:r>
              <w:rPr>
                <w:rFonts w:hint="eastAsia" w:ascii="仿宋" w:hAnsi="仿宋" w:eastAsia="仿宋" w:cs="仿宋"/>
                <w:sz w:val="24"/>
                <w:szCs w:val="24"/>
                <w:lang w:eastAsia="zh"/>
              </w:rPr>
              <w:t>10.</w:t>
            </w:r>
            <w:r>
              <w:rPr>
                <w:rFonts w:ascii="仿宋" w:hAnsi="仿宋" w:eastAsia="仿宋" w:cs="仿宋"/>
                <w:sz w:val="24"/>
                <w:szCs w:val="24"/>
                <w:lang w:bidi="ar"/>
              </w:rPr>
              <w:t>其他实质性服务要求</w:t>
            </w:r>
          </w:p>
        </w:tc>
        <w:tc>
          <w:tcPr>
            <w:tcW w:w="772" w:type="dxa"/>
            <w:tcBorders>
              <w:top w:val="single" w:color="auto" w:sz="4" w:space="0"/>
              <w:left w:val="single" w:color="auto" w:sz="4" w:space="0"/>
              <w:right w:val="single" w:color="auto" w:sz="4" w:space="0"/>
            </w:tcBorders>
          </w:tcPr>
          <w:p w14:paraId="22EBECA7">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6E230A3E">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10.1</w:t>
            </w:r>
          </w:p>
        </w:tc>
        <w:tc>
          <w:tcPr>
            <w:tcW w:w="7253" w:type="dxa"/>
            <w:tcBorders>
              <w:top w:val="single" w:color="auto" w:sz="4" w:space="0"/>
              <w:left w:val="single" w:color="auto" w:sz="4" w:space="0"/>
              <w:bottom w:val="single" w:color="auto" w:sz="4" w:space="0"/>
              <w:right w:val="single" w:color="auto" w:sz="4" w:space="0"/>
            </w:tcBorders>
            <w:vAlign w:val="center"/>
          </w:tcPr>
          <w:p w14:paraId="514CE6CE">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中标人免费提供本项目所需标本采集耗材、存放容器、申请单、标识标签等配套物资，所有耗材符合医疗器械合规要求。</w:t>
            </w:r>
          </w:p>
        </w:tc>
      </w:tr>
      <w:tr w14:paraId="6849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2F0B0F8D">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408A3C34">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56606B37">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10.2</w:t>
            </w:r>
          </w:p>
        </w:tc>
        <w:tc>
          <w:tcPr>
            <w:tcW w:w="7253" w:type="dxa"/>
            <w:tcBorders>
              <w:top w:val="single" w:color="auto" w:sz="4" w:space="0"/>
              <w:left w:val="single" w:color="auto" w:sz="4" w:space="0"/>
              <w:bottom w:val="single" w:color="auto" w:sz="4" w:space="0"/>
              <w:right w:val="single" w:color="auto" w:sz="4" w:space="0"/>
            </w:tcBorders>
            <w:vAlign w:val="center"/>
          </w:tcPr>
          <w:p w14:paraId="4BFDF266">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中标人须无条件免费配合采购人现有HIS/LIS系统接口对接，实现标本信息、检测报告双向互联互通，不得收取任何对接及运维费用。</w:t>
            </w:r>
          </w:p>
        </w:tc>
      </w:tr>
      <w:tr w14:paraId="1DE6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55E7FA35">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02A452CA">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F76A1BD">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10.3</w:t>
            </w:r>
          </w:p>
        </w:tc>
        <w:tc>
          <w:tcPr>
            <w:tcW w:w="7253" w:type="dxa"/>
            <w:tcBorders>
              <w:top w:val="single" w:color="auto" w:sz="4" w:space="0"/>
              <w:left w:val="single" w:color="auto" w:sz="4" w:space="0"/>
              <w:bottom w:val="single" w:color="auto" w:sz="4" w:space="0"/>
              <w:right w:val="single" w:color="auto" w:sz="4" w:space="0"/>
            </w:tcBorders>
            <w:vAlign w:val="center"/>
          </w:tcPr>
          <w:p w14:paraId="4527AB5F">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因检测失误、操作不规范、标本管理不当、信息泄露等造成医疗纠纷、经济损失及不良影响，全部责任及损失由中标人承担。</w:t>
            </w:r>
          </w:p>
        </w:tc>
      </w:tr>
      <w:tr w14:paraId="4A8A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01" w:type="dxa"/>
            <w:vMerge w:val="continue"/>
            <w:tcBorders>
              <w:left w:val="single" w:color="auto" w:sz="4" w:space="0"/>
              <w:right w:val="single" w:color="auto" w:sz="4" w:space="0"/>
            </w:tcBorders>
            <w:vAlign w:val="center"/>
          </w:tcPr>
          <w:p w14:paraId="257C79A4">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6A64F7E6">
            <w:pPr>
              <w:spacing w:beforeAutospacing="1" w:line="276" w:lineRule="auto"/>
              <w:jc w:val="center"/>
              <w:rPr>
                <w:rFonts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3353602C">
            <w:pPr>
              <w:spacing w:beforeAutospacing="1" w:line="276" w:lineRule="auto"/>
              <w:jc w:val="center"/>
              <w:rPr>
                <w:rFonts w:hint="eastAsia" w:ascii="仿宋" w:hAnsi="仿宋" w:eastAsia="仿宋" w:cs="仿宋"/>
                <w:sz w:val="24"/>
                <w:szCs w:val="24"/>
              </w:rPr>
            </w:pPr>
            <w:r>
              <w:rPr>
                <w:rFonts w:ascii="仿宋" w:hAnsi="仿宋" w:eastAsia="仿宋" w:cs="仿宋"/>
                <w:sz w:val="24"/>
                <w:szCs w:val="24"/>
                <w:lang w:bidi="ar"/>
              </w:rPr>
              <w:t>10.4</w:t>
            </w:r>
          </w:p>
        </w:tc>
        <w:tc>
          <w:tcPr>
            <w:tcW w:w="7253" w:type="dxa"/>
            <w:tcBorders>
              <w:top w:val="single" w:color="auto" w:sz="4" w:space="0"/>
              <w:left w:val="single" w:color="auto" w:sz="4" w:space="0"/>
              <w:bottom w:val="single" w:color="auto" w:sz="4" w:space="0"/>
              <w:right w:val="single" w:color="auto" w:sz="4" w:space="0"/>
            </w:tcBorders>
            <w:vAlign w:val="center"/>
          </w:tcPr>
          <w:p w14:paraId="209D386D">
            <w:pPr>
              <w:spacing w:beforeAutospacing="1" w:line="276" w:lineRule="auto"/>
              <w:jc w:val="left"/>
              <w:rPr>
                <w:rFonts w:hint="eastAsia" w:ascii="仿宋" w:hAnsi="仿宋" w:eastAsia="仿宋" w:cs="仿宋"/>
                <w:sz w:val="24"/>
                <w:szCs w:val="24"/>
              </w:rPr>
            </w:pPr>
            <w:r>
              <w:rPr>
                <w:rFonts w:ascii="仿宋" w:hAnsi="仿宋" w:eastAsia="仿宋" w:cs="仿宋"/>
                <w:sz w:val="24"/>
                <w:szCs w:val="24"/>
                <w:lang w:bidi="ar"/>
              </w:rPr>
              <w:t>中标人须接受采购人日常考核、月度/季度服务考评，考评不合格按合同约定进行扣款、整改，拒不整改采购人有权终止合同。</w:t>
            </w:r>
          </w:p>
        </w:tc>
      </w:tr>
      <w:tr w14:paraId="6817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01" w:type="dxa"/>
            <w:vMerge w:val="continue"/>
            <w:tcBorders>
              <w:left w:val="single" w:color="auto" w:sz="4" w:space="0"/>
              <w:right w:val="single" w:color="auto" w:sz="4" w:space="0"/>
            </w:tcBorders>
            <w:vAlign w:val="center"/>
          </w:tcPr>
          <w:p w14:paraId="3AF1599C">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608E325C">
            <w:pPr>
              <w:spacing w:beforeAutospacing="1" w:line="276" w:lineRule="auto"/>
              <w:jc w:val="center"/>
              <w:rPr>
                <w:rFonts w:hint="eastAsia" w:ascii="仿宋" w:hAnsi="仿宋" w:eastAsia="仿宋" w:cs="仿宋"/>
                <w:sz w:val="24"/>
                <w:szCs w:val="24"/>
                <w:lang w:bidi="ar"/>
              </w:rPr>
            </w:pPr>
          </w:p>
        </w:tc>
        <w:tc>
          <w:tcPr>
            <w:tcW w:w="772" w:type="dxa"/>
            <w:tcBorders>
              <w:top w:val="single" w:color="auto" w:sz="4" w:space="0"/>
              <w:left w:val="single" w:color="auto" w:sz="4" w:space="0"/>
              <w:bottom w:val="single" w:color="auto" w:sz="4" w:space="0"/>
              <w:right w:val="single" w:color="auto" w:sz="4" w:space="0"/>
            </w:tcBorders>
            <w:vAlign w:val="center"/>
          </w:tcPr>
          <w:p w14:paraId="580777FB">
            <w:pPr>
              <w:spacing w:beforeAutospacing="1" w:line="276" w:lineRule="auto"/>
              <w:jc w:val="center"/>
              <w:rPr>
                <w:rFonts w:hint="eastAsia" w:ascii="仿宋" w:hAnsi="仿宋" w:eastAsia="仿宋" w:cs="仿宋"/>
                <w:sz w:val="24"/>
                <w:szCs w:val="24"/>
                <w:lang w:bidi="ar"/>
              </w:rPr>
            </w:pPr>
            <w:r>
              <w:rPr>
                <w:rFonts w:hint="eastAsia" w:ascii="仿宋" w:hAnsi="仿宋" w:eastAsia="仿宋" w:cs="仿宋"/>
                <w:sz w:val="24"/>
                <w:szCs w:val="24"/>
                <w:lang w:bidi="ar"/>
              </w:rPr>
              <w:t>10.5</w:t>
            </w:r>
          </w:p>
        </w:tc>
        <w:tc>
          <w:tcPr>
            <w:tcW w:w="7253" w:type="dxa"/>
            <w:tcBorders>
              <w:top w:val="single" w:color="auto" w:sz="4" w:space="0"/>
              <w:left w:val="single" w:color="auto" w:sz="4" w:space="0"/>
              <w:bottom w:val="single" w:color="auto" w:sz="4" w:space="0"/>
              <w:right w:val="single" w:color="auto" w:sz="4" w:space="0"/>
            </w:tcBorders>
            <w:vAlign w:val="center"/>
          </w:tcPr>
          <w:p w14:paraId="3192CEDF">
            <w:pPr>
              <w:spacing w:beforeAutospacing="1" w:line="276" w:lineRule="auto"/>
              <w:jc w:val="left"/>
              <w:rPr>
                <w:rFonts w:hint="eastAsia" w:ascii="仿宋" w:hAnsi="仿宋" w:eastAsia="仿宋" w:cs="仿宋"/>
                <w:sz w:val="24"/>
                <w:szCs w:val="24"/>
                <w:lang w:bidi="ar"/>
              </w:rPr>
            </w:pPr>
            <w:r>
              <w:rPr>
                <w:rFonts w:ascii="仿宋" w:hAnsi="仿宋" w:eastAsia="仿宋" w:cs="仿宋"/>
                <w:sz w:val="24"/>
                <w:szCs w:val="24"/>
                <w:lang w:bidi="ar"/>
              </w:rPr>
              <w:t>特殊标本：提供临时加急服务，需提供具体方案及报告出具时限。</w:t>
            </w:r>
          </w:p>
        </w:tc>
      </w:tr>
      <w:tr w14:paraId="15C6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05223EAD">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00E7109E">
            <w:pPr>
              <w:spacing w:beforeAutospacing="1" w:line="276" w:lineRule="auto"/>
              <w:jc w:val="center"/>
              <w:rPr>
                <w:rFonts w:hint="eastAsia" w:ascii="仿宋" w:hAnsi="仿宋" w:eastAsia="仿宋" w:cs="仿宋"/>
                <w:sz w:val="24"/>
                <w:szCs w:val="24"/>
                <w:lang w:bidi="ar"/>
              </w:rPr>
            </w:pPr>
            <w:r>
              <w:rPr>
                <w:rFonts w:ascii="仿宋" w:hAnsi="仿宋" w:eastAsia="仿宋" w:cs="仿宋"/>
                <w:sz w:val="24"/>
                <w:szCs w:val="24"/>
                <w:lang w:bidi="ar"/>
              </w:rPr>
              <w:t>★</w:t>
            </w:r>
          </w:p>
        </w:tc>
        <w:tc>
          <w:tcPr>
            <w:tcW w:w="772" w:type="dxa"/>
            <w:tcBorders>
              <w:top w:val="single" w:color="auto" w:sz="4" w:space="0"/>
              <w:left w:val="single" w:color="auto" w:sz="4" w:space="0"/>
              <w:bottom w:val="single" w:color="auto" w:sz="4" w:space="0"/>
              <w:right w:val="single" w:color="auto" w:sz="4" w:space="0"/>
            </w:tcBorders>
            <w:vAlign w:val="center"/>
          </w:tcPr>
          <w:p w14:paraId="0DCB21C2">
            <w:pPr>
              <w:spacing w:beforeAutospacing="1" w:line="276" w:lineRule="auto"/>
              <w:jc w:val="center"/>
              <w:rPr>
                <w:rFonts w:hint="eastAsia" w:ascii="仿宋" w:hAnsi="仿宋" w:eastAsia="仿宋" w:cs="仿宋"/>
                <w:sz w:val="24"/>
                <w:szCs w:val="24"/>
                <w:lang w:bidi="ar"/>
              </w:rPr>
            </w:pPr>
            <w:r>
              <w:rPr>
                <w:rFonts w:hint="eastAsia" w:ascii="仿宋" w:hAnsi="仿宋" w:eastAsia="仿宋" w:cs="仿宋"/>
                <w:sz w:val="24"/>
                <w:szCs w:val="24"/>
                <w:lang w:bidi="ar"/>
              </w:rPr>
              <w:t>10.6</w:t>
            </w:r>
          </w:p>
        </w:tc>
        <w:tc>
          <w:tcPr>
            <w:tcW w:w="7253" w:type="dxa"/>
            <w:tcBorders>
              <w:top w:val="single" w:color="auto" w:sz="4" w:space="0"/>
              <w:left w:val="single" w:color="auto" w:sz="4" w:space="0"/>
              <w:bottom w:val="single" w:color="auto" w:sz="4" w:space="0"/>
              <w:right w:val="single" w:color="auto" w:sz="4" w:space="0"/>
            </w:tcBorders>
            <w:vAlign w:val="center"/>
          </w:tcPr>
          <w:p w14:paraId="44DAB7B7">
            <w:pPr>
              <w:spacing w:beforeAutospacing="1" w:line="276" w:lineRule="auto"/>
              <w:jc w:val="left"/>
              <w:rPr>
                <w:rFonts w:ascii="仿宋" w:hAnsi="仿宋" w:eastAsia="仿宋" w:cs="仿宋"/>
                <w:sz w:val="24"/>
                <w:szCs w:val="24"/>
                <w:lang w:bidi="ar"/>
              </w:rPr>
            </w:pPr>
            <w:r>
              <w:rPr>
                <w:rFonts w:ascii="仿宋" w:hAnsi="仿宋" w:eastAsia="仿宋" w:cs="仿宋"/>
                <w:sz w:val="24"/>
                <w:szCs w:val="24"/>
                <w:lang w:bidi="ar"/>
              </w:rPr>
              <w:t>实验室应进行相应等级的病原微生物实验室备案，备案凭证载明的微生物种类、实验活动范围必须覆盖实际送检检测项目</w:t>
            </w:r>
          </w:p>
        </w:tc>
      </w:tr>
      <w:tr w14:paraId="431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1" w:type="dxa"/>
            <w:vMerge w:val="continue"/>
            <w:tcBorders>
              <w:left w:val="single" w:color="auto" w:sz="4" w:space="0"/>
              <w:right w:val="single" w:color="auto" w:sz="4" w:space="0"/>
            </w:tcBorders>
            <w:vAlign w:val="center"/>
          </w:tcPr>
          <w:p w14:paraId="4BBB0098">
            <w:pPr>
              <w:spacing w:beforeAutospacing="1" w:line="276" w:lineRule="auto"/>
              <w:jc w:val="center"/>
              <w:rPr>
                <w:rFonts w:hint="eastAsia" w:ascii="仿宋" w:hAnsi="仿宋" w:eastAsia="仿宋" w:cs="仿宋"/>
                <w:sz w:val="24"/>
                <w:szCs w:val="24"/>
              </w:rPr>
            </w:pPr>
          </w:p>
        </w:tc>
        <w:tc>
          <w:tcPr>
            <w:tcW w:w="772" w:type="dxa"/>
            <w:tcBorders>
              <w:left w:val="single" w:color="auto" w:sz="4" w:space="0"/>
              <w:right w:val="single" w:color="auto" w:sz="4" w:space="0"/>
            </w:tcBorders>
          </w:tcPr>
          <w:p w14:paraId="1BCF3CCE">
            <w:pPr>
              <w:spacing w:beforeAutospacing="1" w:line="276" w:lineRule="auto"/>
              <w:jc w:val="center"/>
              <w:rPr>
                <w:rFonts w:hint="eastAsia" w:ascii="仿宋" w:hAnsi="仿宋" w:eastAsia="仿宋" w:cs="仿宋"/>
                <w:sz w:val="24"/>
                <w:szCs w:val="24"/>
                <w:lang w:bidi="ar"/>
              </w:rPr>
            </w:pPr>
            <w:r>
              <w:rPr>
                <w:rFonts w:ascii="仿宋" w:hAnsi="仿宋" w:eastAsia="仿宋" w:cs="仿宋"/>
                <w:sz w:val="24"/>
                <w:szCs w:val="24"/>
                <w:lang w:bidi="ar"/>
              </w:rPr>
              <w:t>★</w:t>
            </w:r>
          </w:p>
        </w:tc>
        <w:tc>
          <w:tcPr>
            <w:tcW w:w="772" w:type="dxa"/>
            <w:tcBorders>
              <w:top w:val="single" w:color="auto" w:sz="4" w:space="0"/>
              <w:left w:val="single" w:color="auto" w:sz="4" w:space="0"/>
              <w:bottom w:val="single" w:color="auto" w:sz="4" w:space="0"/>
              <w:right w:val="single" w:color="auto" w:sz="4" w:space="0"/>
            </w:tcBorders>
            <w:vAlign w:val="center"/>
          </w:tcPr>
          <w:p w14:paraId="6012AD32">
            <w:pPr>
              <w:spacing w:beforeAutospacing="1" w:line="276" w:lineRule="auto"/>
              <w:jc w:val="center"/>
              <w:rPr>
                <w:rFonts w:hint="eastAsia" w:ascii="仿宋" w:hAnsi="仿宋" w:eastAsia="仿宋" w:cs="仿宋"/>
                <w:sz w:val="24"/>
                <w:szCs w:val="24"/>
                <w:lang w:bidi="ar"/>
              </w:rPr>
            </w:pPr>
            <w:r>
              <w:rPr>
                <w:rFonts w:hint="eastAsia" w:ascii="仿宋" w:hAnsi="仿宋" w:eastAsia="仿宋" w:cs="仿宋"/>
                <w:sz w:val="24"/>
                <w:szCs w:val="24"/>
                <w:lang w:bidi="ar"/>
              </w:rPr>
              <w:t>10.7</w:t>
            </w:r>
          </w:p>
        </w:tc>
        <w:tc>
          <w:tcPr>
            <w:tcW w:w="7253" w:type="dxa"/>
            <w:tcBorders>
              <w:top w:val="single" w:color="auto" w:sz="4" w:space="0"/>
              <w:left w:val="single" w:color="auto" w:sz="4" w:space="0"/>
              <w:bottom w:val="single" w:color="auto" w:sz="4" w:space="0"/>
              <w:right w:val="single" w:color="auto" w:sz="4" w:space="0"/>
            </w:tcBorders>
            <w:vAlign w:val="center"/>
          </w:tcPr>
          <w:p w14:paraId="478B392C">
            <w:pPr>
              <w:spacing w:beforeAutospacing="1" w:line="276" w:lineRule="auto"/>
              <w:jc w:val="left"/>
              <w:rPr>
                <w:rFonts w:ascii="仿宋" w:hAnsi="仿宋" w:eastAsia="仿宋" w:cs="仿宋"/>
                <w:sz w:val="24"/>
                <w:szCs w:val="24"/>
                <w:lang w:bidi="ar"/>
              </w:rPr>
            </w:pPr>
            <w:r>
              <w:rPr>
                <w:rFonts w:ascii="仿宋" w:hAnsi="仿宋" w:eastAsia="仿宋" w:cs="仿宋"/>
                <w:sz w:val="24"/>
                <w:szCs w:val="24"/>
                <w:lang w:bidi="ar"/>
              </w:rPr>
              <w:t>需提供与送检项目相对应的检测实验室设备证明材料（提供照片和最近一次校准报告）</w:t>
            </w:r>
          </w:p>
        </w:tc>
      </w:tr>
      <w:tr w14:paraId="5681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198" w:type="dxa"/>
            <w:gridSpan w:val="4"/>
            <w:tcBorders>
              <w:left w:val="single" w:color="auto" w:sz="4" w:space="0"/>
              <w:right w:val="single" w:color="auto" w:sz="4" w:space="0"/>
            </w:tcBorders>
            <w:vAlign w:val="center"/>
          </w:tcPr>
          <w:p w14:paraId="52C74361">
            <w:pPr>
              <w:spacing w:beforeAutospacing="1" w:line="276" w:lineRule="auto"/>
              <w:jc w:val="left"/>
              <w:rPr>
                <w:rFonts w:hint="default" w:ascii="仿宋" w:hAnsi="仿宋" w:eastAsia="仿宋" w:cs="仿宋"/>
                <w:sz w:val="24"/>
                <w:szCs w:val="24"/>
                <w:lang w:val="en-US" w:eastAsia="zh-CN" w:bidi="ar"/>
              </w:rPr>
            </w:pPr>
            <w:r>
              <w:rPr>
                <w:rFonts w:hint="eastAsia" w:ascii="仿宋" w:hAnsi="仿宋" w:eastAsia="仿宋" w:cs="仿宋"/>
                <w:sz w:val="24"/>
                <w:szCs w:val="24"/>
                <w:lang w:val="en-US" w:eastAsia="zh-CN" w:bidi="ar"/>
              </w:rPr>
              <w:t>注：所有技术参数中，标“</w:t>
            </w:r>
            <w:r>
              <w:rPr>
                <w:rFonts w:ascii="仿宋" w:hAnsi="仿宋" w:eastAsia="仿宋" w:cs="仿宋"/>
                <w:sz w:val="24"/>
                <w:szCs w:val="24"/>
                <w:lang w:bidi="ar"/>
              </w:rPr>
              <w:t>★</w:t>
            </w:r>
            <w:r>
              <w:rPr>
                <w:rFonts w:hint="eastAsia" w:ascii="仿宋" w:hAnsi="仿宋" w:eastAsia="仿宋" w:cs="仿宋"/>
                <w:sz w:val="24"/>
                <w:szCs w:val="24"/>
                <w:lang w:val="en-US" w:eastAsia="zh-CN" w:bidi="ar"/>
              </w:rPr>
              <w:t>”项为主要技术参数，任意一条不满足则导致响应无效。</w:t>
            </w:r>
          </w:p>
        </w:tc>
      </w:tr>
    </w:tbl>
    <w:p w14:paraId="46C2D3B1">
      <w:pPr>
        <w:numPr>
          <w:ilvl w:val="0"/>
          <w:numId w:val="0"/>
        </w:numPr>
        <w:spacing w:line="560" w:lineRule="exact"/>
        <w:rPr>
          <w:rFonts w:hint="eastAsia" w:ascii="仿宋" w:hAnsi="仿宋" w:eastAsia="仿宋" w:cs="仿宋"/>
          <w:b/>
          <w:bCs/>
          <w:sz w:val="30"/>
          <w:szCs w:val="30"/>
          <w:lang w:val="en-US" w:eastAsia="zh-CN"/>
        </w:rPr>
      </w:pPr>
    </w:p>
    <w:p w14:paraId="53BB8345">
      <w:pPr>
        <w:numPr>
          <w:ilvl w:val="0"/>
          <w:numId w:val="0"/>
        </w:numPr>
        <w:spacing w:line="560" w:lineRule="exact"/>
        <w:rPr>
          <w:rFonts w:hint="eastAsia" w:ascii="仿宋" w:hAnsi="仿宋" w:eastAsia="仿宋" w:cs="仿宋"/>
          <w:b/>
          <w:bCs/>
          <w:sz w:val="30"/>
          <w:szCs w:val="30"/>
          <w:lang w:val="en-US" w:eastAsia="zh-CN"/>
        </w:rPr>
      </w:pPr>
    </w:p>
    <w:p w14:paraId="7BBDE0CC">
      <w:pPr>
        <w:numPr>
          <w:ilvl w:val="0"/>
          <w:numId w:val="0"/>
        </w:numPr>
        <w:spacing w:line="560" w:lineRule="exact"/>
        <w:rPr>
          <w:rFonts w:hint="eastAsia" w:ascii="仿宋" w:hAnsi="仿宋" w:eastAsia="仿宋" w:cs="仿宋"/>
          <w:b/>
          <w:bCs/>
          <w:sz w:val="30"/>
          <w:szCs w:val="30"/>
          <w:lang w:val="en-US" w:eastAsia="zh-CN"/>
        </w:rPr>
      </w:pPr>
    </w:p>
    <w:p w14:paraId="07F01304">
      <w:pPr>
        <w:numPr>
          <w:ilvl w:val="0"/>
          <w:numId w:val="0"/>
        </w:numPr>
        <w:spacing w:line="560" w:lineRule="exact"/>
        <w:rPr>
          <w:rFonts w:hint="eastAsia" w:ascii="仿宋" w:hAnsi="仿宋" w:eastAsia="仿宋" w:cs="仿宋"/>
          <w:b/>
          <w:bCs/>
          <w:sz w:val="30"/>
          <w:szCs w:val="30"/>
          <w:lang w:val="en-US" w:eastAsia="zh-CN"/>
        </w:rPr>
      </w:pPr>
    </w:p>
    <w:p w14:paraId="64A38E11">
      <w:pPr>
        <w:numPr>
          <w:ilvl w:val="0"/>
          <w:numId w:val="0"/>
        </w:numPr>
        <w:spacing w:line="560" w:lineRule="exact"/>
        <w:rPr>
          <w:rFonts w:hint="eastAsia" w:ascii="仿宋" w:hAnsi="仿宋" w:eastAsia="仿宋" w:cs="仿宋"/>
          <w:b/>
          <w:bCs/>
          <w:sz w:val="30"/>
          <w:szCs w:val="30"/>
          <w:lang w:val="en-US" w:eastAsia="zh-CN"/>
        </w:rPr>
      </w:pPr>
    </w:p>
    <w:p w14:paraId="45CAC30B">
      <w:pPr>
        <w:numPr>
          <w:ilvl w:val="0"/>
          <w:numId w:val="0"/>
        </w:numPr>
        <w:spacing w:line="560" w:lineRule="exact"/>
        <w:rPr>
          <w:rFonts w:hint="eastAsia" w:ascii="仿宋" w:hAnsi="仿宋" w:eastAsia="仿宋" w:cs="仿宋"/>
          <w:b/>
          <w:bCs/>
          <w:sz w:val="30"/>
          <w:szCs w:val="30"/>
          <w:lang w:val="en-US" w:eastAsia="zh-CN"/>
        </w:rPr>
      </w:pPr>
    </w:p>
    <w:p w14:paraId="589AAA0B">
      <w:pPr>
        <w:numPr>
          <w:ilvl w:val="0"/>
          <w:numId w:val="0"/>
        </w:numPr>
        <w:spacing w:line="560" w:lineRule="exact"/>
        <w:rPr>
          <w:rFonts w:hint="eastAsia" w:ascii="仿宋" w:hAnsi="仿宋" w:eastAsia="仿宋" w:cs="仿宋"/>
          <w:b/>
          <w:bCs/>
          <w:sz w:val="30"/>
          <w:szCs w:val="30"/>
          <w:lang w:val="en-US" w:eastAsia="zh-CN"/>
        </w:rPr>
      </w:pPr>
    </w:p>
    <w:p w14:paraId="43AA01D3">
      <w:pPr>
        <w:numPr>
          <w:ilvl w:val="0"/>
          <w:numId w:val="0"/>
        </w:numPr>
        <w:spacing w:line="560" w:lineRule="exact"/>
        <w:rPr>
          <w:rFonts w:hint="eastAsia" w:ascii="仿宋" w:hAnsi="仿宋" w:eastAsia="仿宋" w:cs="仿宋"/>
          <w:b/>
          <w:bCs/>
          <w:sz w:val="30"/>
          <w:szCs w:val="30"/>
          <w:lang w:val="en-US" w:eastAsia="zh-CN"/>
        </w:rPr>
      </w:pPr>
    </w:p>
    <w:p w14:paraId="21A6FC7E">
      <w:pPr>
        <w:numPr>
          <w:ilvl w:val="0"/>
          <w:numId w:val="0"/>
        </w:numPr>
        <w:spacing w:line="560" w:lineRule="exact"/>
        <w:rPr>
          <w:rFonts w:hint="eastAsia" w:ascii="仿宋" w:hAnsi="仿宋" w:eastAsia="仿宋" w:cs="仿宋"/>
          <w:b/>
          <w:bCs/>
          <w:sz w:val="30"/>
          <w:szCs w:val="30"/>
          <w:lang w:val="en-US" w:eastAsia="zh-CN"/>
        </w:rPr>
      </w:pPr>
    </w:p>
    <w:p w14:paraId="5C0E0E15">
      <w:pPr>
        <w:numPr>
          <w:ilvl w:val="0"/>
          <w:numId w:val="0"/>
        </w:numPr>
        <w:spacing w:line="560" w:lineRule="exact"/>
        <w:rPr>
          <w:rFonts w:hint="eastAsia" w:ascii="仿宋" w:hAnsi="仿宋" w:eastAsia="仿宋" w:cs="仿宋"/>
          <w:b/>
          <w:bCs/>
          <w:sz w:val="30"/>
          <w:szCs w:val="30"/>
          <w:lang w:val="en-US" w:eastAsia="zh-CN"/>
        </w:rPr>
      </w:pPr>
    </w:p>
    <w:p w14:paraId="3DD16C25">
      <w:pPr>
        <w:numPr>
          <w:ilvl w:val="0"/>
          <w:numId w:val="0"/>
        </w:numPr>
        <w:spacing w:line="560" w:lineRule="exac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（三）综合评审表</w:t>
      </w:r>
    </w:p>
    <w:tbl>
      <w:tblPr>
        <w:tblStyle w:val="11"/>
        <w:tblW w:w="1038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1546"/>
        <w:gridCol w:w="7421"/>
      </w:tblGrid>
      <w:tr w14:paraId="786D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281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BD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评审标准</w:t>
            </w:r>
          </w:p>
        </w:tc>
      </w:tr>
      <w:tr w14:paraId="5593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B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分值构成</w:t>
            </w: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D42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val="0"/>
                <w:bCs w:val="0"/>
                <w:i w:val="0"/>
                <w:iCs w:val="0"/>
                <w:color w:val="000000"/>
                <w:kern w:val="0"/>
                <w:sz w:val="30"/>
                <w:szCs w:val="30"/>
                <w:u w:val="none"/>
                <w:lang w:val="en-US" w:eastAsia="zh-CN" w:bidi="ar"/>
              </w:rPr>
              <w:t>技术部分70分 商务部分20分 报价得分10分</w:t>
            </w:r>
          </w:p>
        </w:tc>
      </w:tr>
      <w:tr w14:paraId="2E1D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413" w:type="dxa"/>
            <w:vMerge w:val="restart"/>
            <w:tcBorders>
              <w:top w:val="single" w:color="000000" w:sz="4" w:space="0"/>
              <w:left w:val="single" w:color="000000" w:sz="4" w:space="0"/>
              <w:bottom w:val="nil"/>
              <w:right w:val="single" w:color="000000" w:sz="4" w:space="0"/>
            </w:tcBorders>
            <w:shd w:val="clear" w:color="auto" w:fill="auto"/>
            <w:vAlign w:val="center"/>
          </w:tcPr>
          <w:p w14:paraId="14F7E7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8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技术服务方案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C1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根据投标人提供的服务方案进行评价，内容包括但不限于以下内容： ①项目人员配备； ②样本采集规范； ③标本保存方案； ④检测工作流程规范； ⑤发送检测结果报告方法； ⑥报告出具时间控制方案。对以上内容进行综合评估，要求方案内容全面完整，能够根据项目实际情况，结合采购需求 ，提出合理、有效、逻辑清晰的方案。提供方案得基础分7分。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750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63EB5A32">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3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服务质量保障方案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1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根据投标人提供的服务质量保障方案进行评价，内容包括但不限于以下内容： ①检测方法方面的质量控制（包括不限于：室内质控及室间质评）；② 样本方面的质量控制； ③技术人员方面的质量控制；④检测设备方面的质量控制； ⑤标本运输质量控制。对以上内容进行综合评估，要求方案内容全面完整，能够根据项目实际情况，结合采购需求，提出合理，有效，逻辑清晰的方案。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2E7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6"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1FDD8D5D">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7B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应急方案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1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根据投标人提供的应急方案进行评价</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内容包括但不限于以下内容</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 xml:space="preserve"> ①结果异议应急方案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②报告丢失应急方案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③售后支持应急方案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④仪器、分析软件故障维修应急方案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⑤提供特急标本优先加急特事特办服务</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⑥其他相关应急处理。对以上内容进行综合评估</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要求方案内容全面完整</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能够根据项目实际情况</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结合采购需求</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提出合理、有效、逻辑清晰的方案。</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Style w:val="17"/>
                <w:rFonts w:hint="eastAsia" w:ascii="仿宋" w:hAnsi="仿宋" w:eastAsia="仿宋" w:cs="仿宋"/>
                <w:sz w:val="30"/>
                <w:szCs w:val="30"/>
                <w:lang w:val="en-US" w:eastAsia="zh-CN" w:bidi="ar"/>
              </w:rPr>
              <w:t xml:space="preserve">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方案内容全面、逻辑合理，具备极强的落地执行性，得3分；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方案较为全面、基本合理，具备一定执行性，得2分；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 方案不够全面、合理性不足，执行性较弱，得1分；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未提供，不得分。                                                                             </w:t>
            </w:r>
          </w:p>
        </w:tc>
      </w:tr>
      <w:tr w14:paraId="299E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AB0167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安全方案 (9分)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1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安全方案进行评价，内容包括但不限于以下内容：①配送环境（冷链运输）及运输安全方案；②样品储存环境安全方案；③检测团队安全保障及设备安全操作方案。对以上内容进行综合评估，要求方案内容全面完整，能够根据项目实际情况，结合采购需求，提出合理、有效 、逻辑清晰的方案。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提供方案得基础分6分。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501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0BBEEA0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6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售后服务方案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5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售后服务方案进行评价，内容包括但不限于以下内容：①服务响应与支持；②服务流程优化承诺；③培训与教育；④对检验结果提供必要的科研解释及与医生有效沟通方案。对以上内容进行综合评估，要求方案内容全面完整，能够根据项目实际情况，结合采购需求，提出合理、有效、逻辑清晰的方案。提供方案得基础分5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69C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9"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37B6DD05">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保密方案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D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保密方案进行评价，内容包括但不限于以下内容：①保密管理制度；②签署保密协议内容；③保密培训；④电子信息保密办法。对以上内容进行综合评估，要求方案内容全面完整，能够根据项目实际情况，结合采购需求，提出合理，有效，逻辑清晰的方案。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5A26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1"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D78923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11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标本运输方案（13分)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0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实验室具备冷链物流服务能力，包括但不限于以下内容：①投标实验室物流标本箱具备GPS定位和温度监控功能，可实现全程实时监测，提供加盖公章实物图、系统截图及功能证明得2分，无材料0分；②投标人实验室具有《道路运输经营许可证》及运输车辆，得2分。证明文件以加盖公章的行驶证以及道路运输经营许可证复印件为准，未提供齐全的本项不得分；③投标人实验室获得GB/T 42186-2022《医学检验生物样本冷链物流运作规范》国家标准达标企业，提供有效证明文件得2分，否则得0分；④对投标人实验室提供的标本管理与物流服务方案（包括但不限于:标本采集、标本收取、标本冷链转运、交接签收、物流人员培训、异常情况处置等）进行评分。提供方案得基础分4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方案合理，内容详细、清晰，完全满足并优于采购需求的，得3分；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方案较合理，内容较详细、清晰，完全满足采购需求的，得2分；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方案合理性、内容详细、清晰度均一般，不完全满足采购需求的，得1分；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没有提供方案，不得分。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（注：提供相关方案的介绍说明、运输专用容器实物图片、提供全程电子监控系统的系统截图及介绍并加盖公章）。</w:t>
            </w:r>
          </w:p>
        </w:tc>
      </w:tr>
      <w:tr w14:paraId="0406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26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商务部分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4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业绩 (12分)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4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投标人提供2023年6月1日至今（业绩时间认定以合同签订时间为准）标本外送检测同类项目业绩，每提供一份得4分，本项最多得12分，无业绩0分。（提供合同扫描或复印件，合同需体现签订日期）。</w:t>
            </w:r>
          </w:p>
        </w:tc>
      </w:tr>
      <w:tr w14:paraId="348F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ABF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36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实力认证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1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①投标人实验室通过P2实验室能力认证</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提供有效期内认证证书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不提供不得分。②具有检验 ISO 15189 质量管理体系认证的得2分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不提供不得分。③具有良好的信用评级证书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需提供原件扫描件</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信用评级为3A及以上</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，不提供不得分</w:t>
            </w:r>
            <w:r>
              <w:rPr>
                <w:rStyle w:val="17"/>
                <w:rFonts w:hint="eastAsia" w:ascii="仿宋" w:hAnsi="仿宋" w:eastAsia="仿宋" w:cs="仿宋"/>
                <w:sz w:val="30"/>
                <w:szCs w:val="30"/>
                <w:lang w:val="en-US" w:eastAsia="zh-CN" w:bidi="ar"/>
              </w:rPr>
              <w:t>。</w:t>
            </w:r>
            <w:r>
              <w:rPr>
                <w:rStyle w:val="26"/>
                <w:rFonts w:hint="eastAsia" w:ascii="仿宋" w:hAnsi="仿宋" w:eastAsia="仿宋" w:cs="仿宋"/>
                <w:sz w:val="30"/>
                <w:szCs w:val="30"/>
                <w:lang w:val="en-US" w:eastAsia="zh-CN" w:bidi="ar"/>
              </w:rPr>
              <w:t>④</w:t>
            </w:r>
            <w:r>
              <w:rPr>
                <w:rStyle w:val="17"/>
                <w:rFonts w:hint="eastAsia" w:ascii="仿宋" w:hAnsi="仿宋" w:eastAsia="仿宋" w:cs="仿宋"/>
                <w:sz w:val="30"/>
                <w:szCs w:val="30"/>
                <w:lang w:val="en-US" w:eastAsia="zh-CN" w:bidi="ar"/>
              </w:rPr>
              <w:t>.涉及临床基因扩增或测序项目需提供临床基因扩增检验实验室技术审核合格证书，得2分。</w:t>
            </w:r>
          </w:p>
        </w:tc>
      </w:tr>
      <w:tr w14:paraId="685D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E6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DD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投标报价得分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3D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投标报价得分＝（评标基准价/投标报价）×价格分值（注：满足招标文件要求且投标价格最低的投标报价为评标基准价。）最低报价不是中标的唯一依据。</w:t>
            </w:r>
          </w:p>
        </w:tc>
      </w:tr>
    </w:tbl>
    <w:p w14:paraId="1B6658C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2214A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EF63C6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3EEF1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F9F929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AB0FDB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DA0721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04984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B40C00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8FF5A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E03DD9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78FB9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684F5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54D7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7B589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C19C5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83B75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0670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74F9BC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                            金额单位：元</w:t>
      </w:r>
    </w:p>
    <w:tbl>
      <w:tblPr>
        <w:tblStyle w:val="11"/>
        <w:tblW w:w="10650" w:type="dxa"/>
        <w:tblInd w:w="-1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225"/>
        <w:gridCol w:w="1350"/>
        <w:gridCol w:w="1305"/>
        <w:gridCol w:w="1080"/>
        <w:gridCol w:w="1395"/>
        <w:gridCol w:w="1320"/>
        <w:gridCol w:w="1425"/>
      </w:tblGrid>
      <w:tr w14:paraId="608C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50" w:type="dxa"/>
            <w:tcBorders>
              <w:top w:val="nil"/>
              <w:left w:val="single" w:color="000000" w:sz="4" w:space="0"/>
              <w:bottom w:val="single" w:color="000000" w:sz="4" w:space="0"/>
              <w:right w:val="single" w:color="000000" w:sz="4" w:space="0"/>
            </w:tcBorders>
            <w:shd w:val="clear" w:color="auto" w:fill="auto"/>
            <w:noWrap/>
            <w:vAlign w:val="center"/>
          </w:tcPr>
          <w:p w14:paraId="6CC6C1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25" w:type="dxa"/>
            <w:tcBorders>
              <w:top w:val="nil"/>
              <w:left w:val="single" w:color="000000" w:sz="4" w:space="0"/>
              <w:bottom w:val="single" w:color="000000" w:sz="4" w:space="0"/>
              <w:right w:val="single" w:color="000000" w:sz="4" w:space="0"/>
            </w:tcBorders>
            <w:shd w:val="clear" w:color="auto" w:fill="auto"/>
            <w:vAlign w:val="center"/>
          </w:tcPr>
          <w:p w14:paraId="7E3410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350" w:type="dxa"/>
            <w:tcBorders>
              <w:top w:val="nil"/>
              <w:left w:val="single" w:color="000000" w:sz="4" w:space="0"/>
              <w:bottom w:val="single" w:color="000000" w:sz="4" w:space="0"/>
              <w:right w:val="single" w:color="000000" w:sz="4" w:space="0"/>
            </w:tcBorders>
            <w:shd w:val="clear" w:color="auto" w:fill="auto"/>
            <w:noWrap/>
            <w:vAlign w:val="center"/>
          </w:tcPr>
          <w:p w14:paraId="536E20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物价编码</w:t>
            </w:r>
          </w:p>
        </w:tc>
        <w:tc>
          <w:tcPr>
            <w:tcW w:w="1305" w:type="dxa"/>
            <w:tcBorders>
              <w:top w:val="nil"/>
              <w:left w:val="single" w:color="000000" w:sz="4" w:space="0"/>
              <w:bottom w:val="single" w:color="000000" w:sz="4" w:space="0"/>
              <w:right w:val="single" w:color="000000" w:sz="4" w:space="0"/>
            </w:tcBorders>
            <w:shd w:val="clear" w:color="auto" w:fill="auto"/>
            <w:vAlign w:val="center"/>
          </w:tcPr>
          <w:p w14:paraId="037695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14:paraId="0644F5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两部预估数量</w:t>
            </w:r>
          </w:p>
        </w:tc>
        <w:tc>
          <w:tcPr>
            <w:tcW w:w="1395" w:type="dxa"/>
            <w:tcBorders>
              <w:top w:val="nil"/>
              <w:left w:val="single" w:color="000000" w:sz="4" w:space="0"/>
              <w:bottom w:val="single" w:color="000000" w:sz="4" w:space="0"/>
              <w:right w:val="single" w:color="000000" w:sz="4" w:space="0"/>
            </w:tcBorders>
            <w:shd w:val="clear" w:color="auto" w:fill="auto"/>
            <w:vAlign w:val="center"/>
          </w:tcPr>
          <w:p w14:paraId="6F8332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两部预算</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74F6C51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投标单价</w:t>
            </w:r>
          </w:p>
        </w:tc>
        <w:tc>
          <w:tcPr>
            <w:tcW w:w="1425" w:type="dxa"/>
            <w:tcBorders>
              <w:top w:val="nil"/>
              <w:left w:val="single" w:color="000000" w:sz="4" w:space="0"/>
              <w:bottom w:val="single" w:color="000000" w:sz="4" w:space="0"/>
              <w:right w:val="single" w:color="000000" w:sz="4" w:space="0"/>
            </w:tcBorders>
            <w:shd w:val="clear" w:color="auto" w:fill="auto"/>
            <w:vAlign w:val="center"/>
          </w:tcPr>
          <w:p w14:paraId="481B717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投标总价</w:t>
            </w:r>
          </w:p>
        </w:tc>
      </w:tr>
      <w:tr w14:paraId="3127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0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C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红细胞渗透脆性试验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1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CAEG100000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6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8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7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D4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32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D4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6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血红蛋白电泳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F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CAFA100000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6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3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8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64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9A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A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F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Y染色体性别基因分析（PCR-毛细血管电泳法）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A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CLDJ800000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C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0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9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7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52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2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3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铅镉测定（ICP-MS或AAS）</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5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CEKC800000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2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5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37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C9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5D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B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3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血甲氧基肾上腺素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1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CERC100000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D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7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D8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E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79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B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血甲氧基去甲肾上腺素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0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CERD100000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9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0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4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3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0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39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A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8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尿甲氧基肾上腺素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7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CERC100000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D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D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80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90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A4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2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A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尿甲氧基去甲肾上腺素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A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CERD100000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7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0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B7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C7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E3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D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9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强心甙类测定： 地高辛（化学发光法）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0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8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9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0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C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BB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86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F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A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治疗药物浓度测定:氨茶碱、阿托品（高效液相色谱-串联质谱法）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A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C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B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5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FA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C4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9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B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E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抗癫痫类药物浓度测定:左乙拉西坦、雷帕霉素、奥卡西平、卡马西平、苯巴比妥（均相酶免法）--左乙拉西坦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D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D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E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0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1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4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4F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3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抗癫痫类药物浓度测定:左乙拉西坦、雷帕霉素、奥卡西平、卡马西平、苯巴比妥（均相酶免法）--雷帕霉素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F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6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8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3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6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B6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9E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0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抗癫痫类药物浓度测定:左乙拉西坦、雷帕霉素、奥卡西平、卡马西平、苯巴比妥（均相酶免法）--奥卡西平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A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F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0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CA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3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67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F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抗癫痫类药物浓度测定:左乙拉西坦、雷帕霉素、奥卡西平、卡马西平、苯巴比妥（均相酶免法）--卡马西平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3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C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2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3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55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35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9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7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抗癫痫类药物浓度测定:左乙拉西坦、雷帕霉素、奥卡西平、卡马西平、苯巴比妥（均相酶免法）--苯巴比妥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8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1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8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6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44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C9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11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人表皮生长因子受体2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E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CGCX100000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D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E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A6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BB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12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1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8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恶性肿瘤特异生长因子(TSGF)测定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A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CGSC100000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2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8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9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FC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F3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F8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组织多肽特异抗原(TPS)测定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5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CGSG100000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2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0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4C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4D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4A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D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4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可溶性转铁蛋白受体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9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CEAN100000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3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C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3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C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40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99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8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2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B细胞淋巴瘤鉴别FISH6项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BDAB000100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1000，以一种探针为基价，每增加一种探针加收1000元，最高不超过3000元。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3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7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A0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FD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A5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7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0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sCD25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9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CACH800000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2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2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5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EB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8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70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E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E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触珠蛋白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C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CAEC100000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F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B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B1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A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EB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2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葡萄糖-6-磷酸脱氢酶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1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CAET100000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7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2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B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5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63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89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D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9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血管性血友病因子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8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CAGQ100000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1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B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7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7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1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CD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C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血管性血友病因子(VWF)活性测定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8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CAGQ100000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1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1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0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0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D0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F8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9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5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因子Ⅸ活性测定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0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E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F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9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BF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1E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7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3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因子Ⅷ活性测定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A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F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2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9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FC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38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2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4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因子Ⅴ活性测定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A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7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9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F2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2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ED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7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E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因子Ⅻ活性测定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8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7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5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B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3F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54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6C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F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D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因子Ⅹ活性测定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D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A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9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EC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2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AF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0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2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因子Ⅶ活性测定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1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3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D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3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F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1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DB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A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2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因子Ⅱ活性测定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A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A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02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3D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F2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3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因子Ⅺ活性测定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1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D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28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06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BC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2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1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乳酸脱氢酶同工酶1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8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CECX100000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4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4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A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1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0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24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3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红细胞叶酸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F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CEMA800000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F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B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3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C4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3F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D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7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促红细胞生成素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E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CESM100000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B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0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5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9D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A8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4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PNH克隆检测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5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CGBY100000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B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4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A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6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6B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4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抗内因子抗体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CGFF100000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3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D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9C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86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E9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6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B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游离脂肪酸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B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CEHQ100000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1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F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0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3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D0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E0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F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D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心肌型脂肪酸结合蛋白(H-FABP)测定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2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CEBZ100000/CEBZ100001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D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21.6；化学发光法100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F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D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7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DC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40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3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血管紧张素转化酶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8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CEDH100000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A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6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4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F6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16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B8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3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8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小而密低密度脂蛋白胆固醇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C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CEHD100000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2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0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2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6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E2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8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5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7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CEHE100000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C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6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1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2B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B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A0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C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4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载脂蛋白AⅡ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3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CEHH100000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F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0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3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9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0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ED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C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载脂蛋白CⅡ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C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0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E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6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82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BA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D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载脂蛋白CⅢ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F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0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E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8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2B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22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B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2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髓过氧化物酶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F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CGGF800000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8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3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C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4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6D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50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9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9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脂蛋白相关磷脂酶A2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6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CGKV200000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D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B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7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6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2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BD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F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载脂蛋白E</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2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CEHM100000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C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3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5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6C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3E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65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D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抗Ri抗体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2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CGHT800000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E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9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6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5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AD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8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3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抗Hu抗体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B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CGHU800000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9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6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C8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7A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FD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6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B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抗Yo抗体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E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CGHV100000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F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2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3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A9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14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E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抗AmPhiphsin抗体测定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A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CLZJ800000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8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8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4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3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FF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77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B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抗CV2抗体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7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CLZK800000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8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B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6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D9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B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C5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4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E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抗PNMA2(Ma2/Ta)抗体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8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CLZL800000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6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B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8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40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2C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6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0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抗PNMA2(Ma/Ta)抗体测定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5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CLZL800000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9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A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B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5A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E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8F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A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D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纤维连接蛋白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5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CEBR800000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5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0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5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6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40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91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B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C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超氧化物歧化酶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C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CECZ100000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4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1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B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EF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F5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FB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6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1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抗小肠杯状细胞抗体lgG</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CGGW100000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4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C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1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7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28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0E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D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抗小肠杯状细胞抗体IgA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6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CGGW100000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4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E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A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B6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B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E0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F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1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抗酿酒酵母抗体IgG</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CGJS100000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E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A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1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D4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4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50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7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C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抗酿酒酵母抗体IgA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CGJS100000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3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BE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D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88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D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3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血管内皮生长因子（VEGF）</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4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CGCW1000a0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5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2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C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5A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57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6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4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尿视黄醇结合蛋白</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CEAV800000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6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7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1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12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7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A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尿中性粒细胞明胶酶相关脂质运载蛋白测定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2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CEBZ200000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4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A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81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5F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60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4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0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N-乙酰-β-D-氨基葡萄糖苷酶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C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CEDK200000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7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1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0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9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D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5A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7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2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a2巨球蛋白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0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CEAT800000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C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6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2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3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D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A3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谷胱甘肽还原酶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5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CAEV100000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F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E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7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AF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F1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C5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D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E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缺血修饰白蛋白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1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CEAE400000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8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7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5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0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78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3D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E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D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线粒体天门冬氨酸氨基转移酶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E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CECB1000a0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8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6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4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2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60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74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E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E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谷氨酸脱氢酶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E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CECP100000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9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D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A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C8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D8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56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E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甘胆酸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7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CEHT100000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9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C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1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C2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C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13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0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铜蓝蛋白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F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CGCB100000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5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E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7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6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0D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0E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1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3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高尔基体蛋白73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2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CGSF100001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F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C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C4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89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B2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E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3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6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CEMB100000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4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6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F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EE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D2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5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E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维生素E</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8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CEMB100000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8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3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94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43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34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B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抗表皮基底膜抗体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7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CGHD100000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F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D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B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91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9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11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A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5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1,5-脱水-D-山梨醇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C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CEFF800000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A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F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2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44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D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03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3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D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丙酮酸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0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CEGD800000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D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0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7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5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67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66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5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D-3-羟丁酸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C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CEZB100000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1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2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A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02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9A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AD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6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5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尿核基质蛋白(NMP22)测定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3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CGSK100000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6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F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1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A1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39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9F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B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A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a1-抗胰蛋白酶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A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CEDF800000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E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8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4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6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15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涎液化糖链抗原 KL-6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4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CLZE800000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8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5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3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15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2A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FC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丁型肝炎病毒IgM抗体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1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CGMB100000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5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3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9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6E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E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3B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1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C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a1-酸性糖蛋白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3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CEBV200000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C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8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E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C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AC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2D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F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A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蛋白C</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D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CAJG100000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C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8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38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36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A6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E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9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蛋白S</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7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CAJK100000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9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4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5F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5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34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C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9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硫酸脱氢表雄酮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0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CEQV100000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D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F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A4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5E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6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7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雄烯二酮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E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CERB100000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C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E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9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1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21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4E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7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2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17α羟孕酮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B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CERP100000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8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D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2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70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0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6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7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5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抗卵巢抗体IgG</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1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CGET100000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6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4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4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7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87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4B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B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A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抗卵巢抗体IgM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B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CGET100000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4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1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C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3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E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16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B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抗子宫内膜抗体lgG</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C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CGEU100000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4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F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E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DE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AE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F9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C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抗子宫内膜抗体lgM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E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CGEU100000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3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0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D4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6D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8A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5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抗精子抗体lgG</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0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CGEV100000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3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9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F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E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E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76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2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6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抗精子抗体lgM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5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CGEV100000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E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4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D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2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C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95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8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3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抗透明带抗体lgG</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4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CGFP100000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0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5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0E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7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E4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B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抗透明带抗体IgM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9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CGFP100000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4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3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6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51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FE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2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抗人绒毛膜促性腺激素抗体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3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CGGA100000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6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D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7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5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79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54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0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抗滋养层细胞膜抗体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B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CGHZ100000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F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E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D0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E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8F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F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白细胞介素-1β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2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E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6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8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3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8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3C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3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A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4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F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2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0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9A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B6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3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B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6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5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3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0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2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13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1C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F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1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2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5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6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3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D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8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19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C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3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8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C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6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C8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E0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93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2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F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白细胞介素-12p70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A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1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4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B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18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7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E9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3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A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白细胞介素-17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8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C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9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7C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F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96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2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白介素2受体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B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1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A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22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17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EB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6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8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白细胞介素-10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7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C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3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3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7A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8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92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A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干扰素-α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3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CGCP100000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3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B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9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30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81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E3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5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F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干扰素-γ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0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CGCP100000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C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0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33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EE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05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7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肿瘤坏死因子-α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E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CGRY100000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2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5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3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B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F0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00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A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A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氨基酸10项检测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6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CEEJ800000*10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3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6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C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F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3C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34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B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糖缺失性转铁蛋白(CDT)检测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C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CEBS100000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7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9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9E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B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83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高尔基体蛋白73(GP73)测定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CGSF100000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1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C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DA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DD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D0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5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38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投标总价合计</w:t>
            </w:r>
          </w:p>
        </w:tc>
        <w:tc>
          <w:tcPr>
            <w:tcW w:w="4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F5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051AF55">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单位盖章：</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w:t>
      </w:r>
      <w:bookmarkStart w:id="1" w:name="_GoBack"/>
      <w:bookmarkEnd w:id="1"/>
      <w:r>
        <w:rPr>
          <w:rFonts w:hint="eastAsia" w:ascii="宋体" w:hAnsi="宋体" w:eastAsia="宋体" w:cs="宋体"/>
          <w:sz w:val="24"/>
          <w:szCs w:val="24"/>
          <w:lang w:val="en-US" w:eastAsia="zh-CN"/>
        </w:rPr>
        <w:t>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0E00030"/>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3C010B4"/>
    <w:rsid w:val="241F1D5F"/>
    <w:rsid w:val="24A7212A"/>
    <w:rsid w:val="25757733"/>
    <w:rsid w:val="26330B38"/>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0775C"/>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6C4956"/>
    <w:rsid w:val="43B51B88"/>
    <w:rsid w:val="44AA028A"/>
    <w:rsid w:val="45D233AD"/>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3D4658A"/>
    <w:rsid w:val="64A55108"/>
    <w:rsid w:val="64E47B74"/>
    <w:rsid w:val="65724AA6"/>
    <w:rsid w:val="6585763E"/>
    <w:rsid w:val="65A85339"/>
    <w:rsid w:val="661108EC"/>
    <w:rsid w:val="665F0BE6"/>
    <w:rsid w:val="669049D8"/>
    <w:rsid w:val="67D14995"/>
    <w:rsid w:val="680272B9"/>
    <w:rsid w:val="68204E22"/>
    <w:rsid w:val="683575E4"/>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51"/>
    <w:basedOn w:val="13"/>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3298</Words>
  <Characters>3467</Characters>
  <Lines>0</Lines>
  <Paragraphs>0</Paragraphs>
  <TotalTime>13</TotalTime>
  <ScaleCrop>false</ScaleCrop>
  <LinksUpToDate>false</LinksUpToDate>
  <CharactersWithSpaces>3535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2026-07-04T22:56:15Z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486E33BFDF3D445B9B099924D8776426_13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