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鄂尔多斯市中心医院</w:t>
      </w:r>
    </w:p>
    <w:p w14:paraId="4460EAC3">
      <w:pPr>
        <w:numPr>
          <w:ilvl w:val="0"/>
          <w:numId w:val="0"/>
        </w:numPr>
        <w:jc w:val="center"/>
        <w:rPr>
          <w:rFonts w:hint="eastAsia" w:ascii="宋体" w:hAnsi="宋体" w:eastAsia="宋体" w:cs="宋体"/>
          <w:b/>
          <w:bCs/>
          <w:sz w:val="44"/>
          <w:szCs w:val="44"/>
          <w:lang w:val="en-US" w:eastAsia="zh-CN"/>
        </w:rPr>
      </w:pPr>
    </w:p>
    <w:p w14:paraId="7855E913">
      <w:pPr>
        <w:numPr>
          <w:ilvl w:val="0"/>
          <w:numId w:val="0"/>
        </w:numPr>
        <w:jc w:val="center"/>
        <w:rPr>
          <w:rFonts w:hint="eastAsia" w:ascii="宋体" w:hAnsi="宋体" w:eastAsia="宋体" w:cs="宋体"/>
          <w:b/>
          <w:bCs/>
          <w:sz w:val="44"/>
          <w:szCs w:val="44"/>
          <w:lang w:val="en-US" w:eastAsia="zh-CN"/>
        </w:rPr>
      </w:pPr>
    </w:p>
    <w:p w14:paraId="24BCF1D6">
      <w:pPr>
        <w:numPr>
          <w:ilvl w:val="0"/>
          <w:numId w:val="0"/>
        </w:numPr>
        <w:ind w:firstLine="2650" w:firstLineChars="600"/>
        <w:jc w:val="both"/>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院内招采文件</w:t>
      </w:r>
    </w:p>
    <w:p w14:paraId="1A2146B2">
      <w:pPr>
        <w:numPr>
          <w:ilvl w:val="0"/>
          <w:numId w:val="0"/>
        </w:num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ascii="宋体" w:hAnsi="宋体" w:eastAsia="宋体" w:cs="宋体"/>
          <w:b/>
          <w:bCs/>
          <w:lang w:val="en-US" w:eastAsia="zh-CN"/>
        </w:rPr>
      </w:pPr>
      <w:r>
        <w:rPr>
          <w:rFonts w:hint="eastAsia" w:ascii="宋体" w:hAnsi="宋体" w:eastAsia="宋体" w:cs="宋体"/>
          <w:b/>
          <w:bCs/>
          <w:lang w:val="en-US" w:eastAsia="zh-CN"/>
        </w:rPr>
        <w:t xml:space="preserve">                          </w:t>
      </w:r>
    </w:p>
    <w:p w14:paraId="4765CAF4">
      <w:pPr>
        <w:numPr>
          <w:ilvl w:val="0"/>
          <w:numId w:val="0"/>
        </w:numPr>
        <w:rPr>
          <w:rFonts w:hint="eastAsia" w:ascii="宋体" w:hAnsi="宋体" w:eastAsia="宋体" w:cs="宋体"/>
          <w:b/>
          <w:bCs/>
          <w:lang w:val="en-US" w:eastAsia="zh-CN"/>
        </w:rPr>
      </w:pPr>
    </w:p>
    <w:p w14:paraId="1EA16BF7">
      <w:pPr>
        <w:numPr>
          <w:ilvl w:val="0"/>
          <w:numId w:val="0"/>
        </w:numPr>
        <w:rPr>
          <w:rFonts w:hint="eastAsia" w:ascii="宋体" w:hAnsi="宋体" w:eastAsia="宋体" w:cs="宋体"/>
          <w:b/>
          <w:bCs/>
          <w:lang w:val="en-US" w:eastAsia="zh-CN"/>
        </w:rPr>
      </w:pPr>
    </w:p>
    <w:p w14:paraId="594118B3">
      <w:pPr>
        <w:numPr>
          <w:ilvl w:val="0"/>
          <w:numId w:val="0"/>
        </w:numPr>
        <w:rPr>
          <w:rFonts w:hint="eastAsia" w:ascii="宋体" w:hAnsi="宋体" w:eastAsia="宋体" w:cs="宋体"/>
          <w:b/>
          <w:bCs/>
          <w:lang w:val="en-US" w:eastAsia="zh-CN"/>
        </w:rPr>
      </w:pPr>
    </w:p>
    <w:p w14:paraId="15ACEF2E">
      <w:pPr>
        <w:numPr>
          <w:ilvl w:val="0"/>
          <w:numId w:val="0"/>
        </w:numPr>
        <w:rPr>
          <w:rFonts w:hint="eastAsia" w:ascii="宋体" w:hAnsi="宋体" w:eastAsia="宋体" w:cs="宋体"/>
          <w:b/>
          <w:bCs/>
          <w:lang w:val="en-US" w:eastAsia="zh-CN"/>
        </w:rPr>
      </w:pPr>
    </w:p>
    <w:p w14:paraId="3A088841">
      <w:pPr>
        <w:numPr>
          <w:ilvl w:val="0"/>
          <w:numId w:val="0"/>
        </w:numPr>
        <w:rPr>
          <w:rFonts w:hint="eastAsia" w:ascii="宋体" w:hAnsi="宋体" w:eastAsia="宋体" w:cs="宋体"/>
          <w:b/>
          <w:bCs/>
          <w:lang w:val="en-US" w:eastAsia="zh-CN"/>
        </w:rPr>
      </w:pPr>
    </w:p>
    <w:p w14:paraId="7725592C">
      <w:pPr>
        <w:numPr>
          <w:ilvl w:val="0"/>
          <w:numId w:val="0"/>
        </w:numPr>
        <w:rPr>
          <w:rFonts w:hint="eastAsia" w:ascii="宋体" w:hAnsi="宋体" w:eastAsia="宋体" w:cs="宋体"/>
          <w:b/>
          <w:bCs/>
          <w:lang w:val="en-US" w:eastAsia="zh-CN"/>
        </w:rPr>
      </w:pPr>
    </w:p>
    <w:p w14:paraId="40D4F4C5">
      <w:pPr>
        <w:numPr>
          <w:ilvl w:val="0"/>
          <w:numId w:val="0"/>
        </w:numPr>
        <w:rPr>
          <w:rFonts w:hint="eastAsia" w:ascii="宋体" w:hAnsi="宋体" w:eastAsia="宋体" w:cs="宋体"/>
          <w:b/>
          <w:bCs/>
          <w:lang w:val="en-US" w:eastAsia="zh-CN"/>
        </w:rPr>
      </w:pPr>
    </w:p>
    <w:p w14:paraId="1B580E17">
      <w:pPr>
        <w:numPr>
          <w:ilvl w:val="0"/>
          <w:numId w:val="0"/>
        </w:numPr>
        <w:rPr>
          <w:rFonts w:hint="eastAsia" w:ascii="宋体" w:hAnsi="宋体" w:eastAsia="宋体" w:cs="宋体"/>
          <w:b/>
          <w:bCs/>
          <w:lang w:val="en-US" w:eastAsia="zh-CN"/>
        </w:rPr>
      </w:pPr>
    </w:p>
    <w:p w14:paraId="3753AF03">
      <w:pPr>
        <w:numPr>
          <w:ilvl w:val="0"/>
          <w:numId w:val="0"/>
        </w:numPr>
        <w:ind w:firstLine="4216" w:firstLineChars="1500"/>
        <w:rPr>
          <w:rFonts w:hint="eastAsia" w:ascii="宋体" w:hAnsi="宋体" w:eastAsia="宋体" w:cs="宋体"/>
          <w:b/>
          <w:bCs/>
          <w:sz w:val="28"/>
          <w:szCs w:val="28"/>
          <w:lang w:val="en-US" w:eastAsia="zh-CN"/>
        </w:rPr>
      </w:pPr>
    </w:p>
    <w:p w14:paraId="54111720">
      <w:pPr>
        <w:numPr>
          <w:ilvl w:val="0"/>
          <w:numId w:val="0"/>
        </w:numPr>
        <w:jc w:val="center"/>
        <w:rPr>
          <w:rFonts w:hint="eastAsia" w:ascii="宋体" w:hAnsi="宋体" w:eastAsia="宋体" w:cs="宋体"/>
          <w:b/>
          <w:i w:val="0"/>
          <w:caps/>
          <w:color w:val="333333"/>
          <w:spacing w:val="0"/>
          <w:sz w:val="36"/>
          <w:szCs w:val="36"/>
          <w:lang w:val="en-US" w:eastAsia="zh-CN"/>
        </w:rPr>
      </w:pPr>
      <w:r>
        <w:rPr>
          <w:rFonts w:hint="eastAsia" w:ascii="宋体" w:hAnsi="宋体" w:eastAsia="宋体" w:cs="宋体"/>
          <w:b/>
          <w:i w:val="0"/>
          <w:caps/>
          <w:color w:val="333333"/>
          <w:spacing w:val="0"/>
          <w:sz w:val="36"/>
          <w:szCs w:val="36"/>
          <w:lang w:val="en-US" w:eastAsia="zh-CN"/>
        </w:rPr>
        <w:t>血液肿瘤二代测序等检测项目外检服务（二次）</w:t>
      </w:r>
    </w:p>
    <w:p w14:paraId="13F46CBC">
      <w:pPr>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2026年7月4日</w:t>
      </w:r>
    </w:p>
    <w:p w14:paraId="3DED3793">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  </w:t>
      </w:r>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eastAsia" w:hAnsi="宋体"/>
          <w:sz w:val="24"/>
          <w:szCs w:val="24"/>
          <w:lang w:val="en-US" w:eastAsia="zh-CN"/>
        </w:rPr>
      </w:pPr>
    </w:p>
    <w:p w14:paraId="0B0E5296">
      <w:pPr>
        <w:numPr>
          <w:ilvl w:val="0"/>
          <w:numId w:val="0"/>
        </w:numPr>
        <w:spacing w:line="360" w:lineRule="auto"/>
        <w:jc w:val="left"/>
        <w:rPr>
          <w:rFonts w:hint="eastAsia"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bookmarkStart w:id="1" w:name="_GoBack"/>
      <w:bookmarkEnd w:id="1"/>
    </w:p>
    <w:p w14:paraId="45BBB40C">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59BC419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一、商务条款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8"/>
          <w:szCs w:val="28"/>
          <w:lang w:val="en-US" w:eastAsia="zh-CN"/>
        </w:rPr>
        <w:t xml:space="preserve"> 货币单位：元</w:t>
      </w:r>
    </w:p>
    <w:tbl>
      <w:tblPr>
        <w:tblStyle w:val="11"/>
        <w:tblW w:w="5594" w:type="pct"/>
        <w:tblInd w:w="-72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5"/>
        <w:gridCol w:w="915"/>
        <w:gridCol w:w="2100"/>
        <w:gridCol w:w="1370"/>
        <w:gridCol w:w="1287"/>
        <w:gridCol w:w="1490"/>
        <w:gridCol w:w="1518"/>
      </w:tblGrid>
      <w:tr w14:paraId="44EF0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7" w:hRule="atLeast"/>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81DD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30"/>
                <w:szCs w:val="30"/>
                <w:u w:val="none"/>
                <w:lang w:val="en-US" w:eastAsia="zh-CN" w:bidi="ar"/>
              </w:rPr>
            </w:pPr>
            <w:r>
              <w:rPr>
                <w:rFonts w:hint="eastAsia" w:ascii="仿宋" w:hAnsi="仿宋" w:eastAsia="仿宋" w:cs="仿宋"/>
                <w:b/>
                <w:bCs/>
                <w:i w:val="0"/>
                <w:iCs w:val="0"/>
                <w:color w:val="000000"/>
                <w:kern w:val="0"/>
                <w:sz w:val="30"/>
                <w:szCs w:val="30"/>
                <w:u w:val="none"/>
                <w:lang w:val="en-US" w:eastAsia="zh-CN" w:bidi="ar"/>
              </w:rPr>
              <w:t>序号</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BFB1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30"/>
                <w:szCs w:val="30"/>
                <w:u w:val="none"/>
                <w:lang w:val="en-US"/>
              </w:rPr>
            </w:pPr>
            <w:r>
              <w:rPr>
                <w:rFonts w:hint="eastAsia" w:ascii="仿宋" w:hAnsi="仿宋" w:eastAsia="仿宋" w:cs="仿宋"/>
                <w:b/>
                <w:bCs/>
                <w:i w:val="0"/>
                <w:iCs w:val="0"/>
                <w:color w:val="000000"/>
                <w:kern w:val="0"/>
                <w:sz w:val="30"/>
                <w:szCs w:val="30"/>
                <w:u w:val="none"/>
                <w:lang w:val="en-US" w:eastAsia="zh-CN" w:bidi="ar"/>
              </w:rPr>
              <w:t>小标</w:t>
            </w:r>
          </w:p>
        </w:tc>
        <w:tc>
          <w:tcPr>
            <w:tcW w:w="18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CCE37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30"/>
                <w:szCs w:val="30"/>
                <w:u w:val="none"/>
              </w:rPr>
            </w:pPr>
            <w:r>
              <w:rPr>
                <w:rFonts w:hint="eastAsia" w:ascii="仿宋" w:hAnsi="仿宋" w:eastAsia="仿宋" w:cs="仿宋"/>
                <w:b/>
                <w:bCs/>
                <w:i w:val="0"/>
                <w:iCs w:val="0"/>
                <w:color w:val="000000"/>
                <w:kern w:val="0"/>
                <w:sz w:val="30"/>
                <w:szCs w:val="30"/>
                <w:u w:val="none"/>
                <w:lang w:val="en-US" w:eastAsia="zh-CN" w:bidi="ar"/>
              </w:rPr>
              <w:t>项目名称</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24D6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30"/>
                <w:szCs w:val="30"/>
                <w:u w:val="none"/>
              </w:rPr>
            </w:pPr>
            <w:r>
              <w:rPr>
                <w:rFonts w:hint="eastAsia" w:ascii="仿宋" w:hAnsi="仿宋" w:eastAsia="仿宋" w:cs="仿宋"/>
                <w:b/>
                <w:bCs/>
                <w:i w:val="0"/>
                <w:iCs w:val="0"/>
                <w:color w:val="000000"/>
                <w:kern w:val="0"/>
                <w:sz w:val="30"/>
                <w:szCs w:val="30"/>
                <w:u w:val="none"/>
                <w:lang w:val="en-US" w:eastAsia="zh-CN" w:bidi="ar"/>
              </w:rPr>
              <w:t>预估数量</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8398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30"/>
                <w:szCs w:val="30"/>
                <w:u w:val="none"/>
                <w:lang w:val="en-US" w:eastAsia="zh-CN" w:bidi="ar"/>
              </w:rPr>
            </w:pPr>
            <w:r>
              <w:rPr>
                <w:rFonts w:hint="eastAsia" w:ascii="仿宋" w:hAnsi="仿宋" w:eastAsia="仿宋" w:cs="仿宋"/>
                <w:b/>
                <w:bCs/>
                <w:i w:val="0"/>
                <w:iCs w:val="0"/>
                <w:color w:val="000000"/>
                <w:kern w:val="0"/>
                <w:sz w:val="30"/>
                <w:szCs w:val="30"/>
                <w:u w:val="none"/>
                <w:lang w:val="en-US" w:eastAsia="zh-CN" w:bidi="ar"/>
              </w:rPr>
              <w:t>预算单价</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B798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30"/>
                <w:szCs w:val="30"/>
                <w:u w:val="none"/>
              </w:rPr>
            </w:pPr>
            <w:r>
              <w:rPr>
                <w:rFonts w:hint="eastAsia" w:ascii="仿宋" w:hAnsi="仿宋" w:eastAsia="仿宋" w:cs="仿宋"/>
                <w:b/>
                <w:bCs/>
                <w:i w:val="0"/>
                <w:iCs w:val="0"/>
                <w:color w:val="000000"/>
                <w:kern w:val="0"/>
                <w:sz w:val="30"/>
                <w:szCs w:val="30"/>
                <w:u w:val="none"/>
                <w:lang w:val="en-US" w:eastAsia="zh-CN" w:bidi="ar"/>
              </w:rPr>
              <w:t>预算小计</w:t>
            </w:r>
          </w:p>
        </w:tc>
      </w:tr>
      <w:tr w14:paraId="574D8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4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25FE7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30"/>
                <w:szCs w:val="30"/>
                <w:u w:val="none"/>
                <w:lang w:val="en-US" w:eastAsia="zh-CN"/>
              </w:rPr>
            </w:pPr>
            <w:r>
              <w:rPr>
                <w:rFonts w:hint="eastAsia" w:ascii="仿宋" w:hAnsi="仿宋" w:eastAsia="仿宋" w:cs="仿宋"/>
                <w:i w:val="0"/>
                <w:iCs w:val="0"/>
                <w:color w:val="000000"/>
                <w:sz w:val="30"/>
                <w:szCs w:val="30"/>
                <w:u w:val="none"/>
                <w:lang w:val="en-US" w:eastAsia="zh-CN"/>
              </w:rPr>
              <w:t>1</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1C12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sz w:val="30"/>
                <w:szCs w:val="30"/>
                <w:u w:val="none"/>
              </w:rPr>
              <w:t>①</w:t>
            </w:r>
          </w:p>
        </w:tc>
        <w:tc>
          <w:tcPr>
            <w:tcW w:w="18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54104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血液肿瘤二代测序</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6CC7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20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3334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2400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92A6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48000</w:t>
            </w:r>
          </w:p>
        </w:tc>
      </w:tr>
      <w:tr w14:paraId="055B2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4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0B48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30"/>
                <w:szCs w:val="30"/>
                <w:u w:val="none"/>
                <w:lang w:val="en-US" w:eastAsia="zh-CN" w:bidi="ar"/>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0D22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sz w:val="30"/>
                <w:szCs w:val="30"/>
                <w:u w:val="none"/>
              </w:rPr>
              <w:t>②</w:t>
            </w:r>
          </w:p>
        </w:tc>
        <w:tc>
          <w:tcPr>
            <w:tcW w:w="18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E7E34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血液病相关基因定性检测</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193F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20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DFC9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400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674D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8000</w:t>
            </w:r>
          </w:p>
        </w:tc>
      </w:tr>
      <w:tr w14:paraId="63F6E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448" w:type="pct"/>
            <w:vMerge w:val="continue"/>
            <w:tcBorders>
              <w:top w:val="single" w:color="000000" w:sz="4" w:space="0"/>
              <w:left w:val="single" w:color="000000" w:sz="4" w:space="0"/>
              <w:right w:val="single" w:color="000000" w:sz="4" w:space="0"/>
            </w:tcBorders>
            <w:shd w:val="clear" w:color="auto" w:fill="auto"/>
            <w:vAlign w:val="center"/>
          </w:tcPr>
          <w:p w14:paraId="3633FE4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30"/>
                <w:szCs w:val="30"/>
                <w:u w:val="none"/>
                <w:lang w:val="en-US" w:eastAsia="zh-CN" w:bidi="ar"/>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741B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sz w:val="30"/>
                <w:szCs w:val="30"/>
                <w:u w:val="none"/>
              </w:rPr>
              <w:t>③</w:t>
            </w:r>
          </w:p>
        </w:tc>
        <w:tc>
          <w:tcPr>
            <w:tcW w:w="18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0854B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血液病相关基因定量检测</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B246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20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1D81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500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9305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10000</w:t>
            </w:r>
          </w:p>
        </w:tc>
      </w:tr>
      <w:tr w14:paraId="623C9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48" w:type="pct"/>
            <w:vMerge w:val="continue"/>
            <w:tcBorders>
              <w:left w:val="single" w:color="000000" w:sz="4" w:space="0"/>
              <w:right w:val="single" w:color="000000" w:sz="4" w:space="0"/>
            </w:tcBorders>
            <w:shd w:val="clear" w:color="auto" w:fill="auto"/>
            <w:vAlign w:val="center"/>
          </w:tcPr>
          <w:p w14:paraId="6ECD869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30"/>
                <w:szCs w:val="30"/>
                <w:u w:val="none"/>
                <w:lang w:val="en-US" w:eastAsia="zh-CN" w:bidi="ar"/>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FB61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sz w:val="30"/>
                <w:szCs w:val="30"/>
                <w:u w:val="none"/>
              </w:rPr>
              <w:t>④</w:t>
            </w:r>
          </w:p>
        </w:tc>
        <w:tc>
          <w:tcPr>
            <w:tcW w:w="18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60EAD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人细小病毒B19IgM抗体</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D44D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20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2128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80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1244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1600</w:t>
            </w:r>
          </w:p>
        </w:tc>
      </w:tr>
      <w:tr w14:paraId="7E220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448" w:type="pct"/>
            <w:vMerge w:val="continue"/>
            <w:tcBorders>
              <w:left w:val="single" w:color="000000" w:sz="4" w:space="0"/>
              <w:right w:val="single" w:color="000000" w:sz="4" w:space="0"/>
            </w:tcBorders>
            <w:shd w:val="clear" w:color="auto" w:fill="auto"/>
            <w:vAlign w:val="center"/>
          </w:tcPr>
          <w:p w14:paraId="0883357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30"/>
                <w:szCs w:val="30"/>
                <w:u w:val="none"/>
                <w:lang w:val="en-US" w:eastAsia="zh-CN" w:bidi="ar"/>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AD9D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sz w:val="30"/>
                <w:szCs w:val="30"/>
                <w:u w:val="none"/>
              </w:rPr>
              <w:t>⑤</w:t>
            </w:r>
          </w:p>
        </w:tc>
        <w:tc>
          <w:tcPr>
            <w:tcW w:w="18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0CD75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人细小病毒B19lgG抗体</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67B6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20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D60E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80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7EF5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1600</w:t>
            </w:r>
          </w:p>
        </w:tc>
      </w:tr>
      <w:tr w14:paraId="27BB6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48" w:type="pct"/>
            <w:vMerge w:val="continue"/>
            <w:tcBorders>
              <w:left w:val="single" w:color="000000" w:sz="4" w:space="0"/>
              <w:right w:val="single" w:color="000000" w:sz="4" w:space="0"/>
            </w:tcBorders>
            <w:shd w:val="clear" w:color="auto" w:fill="auto"/>
            <w:vAlign w:val="center"/>
          </w:tcPr>
          <w:p w14:paraId="17F17DF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30"/>
                <w:szCs w:val="30"/>
                <w:u w:val="none"/>
                <w:lang w:val="en-US" w:eastAsia="zh-CN" w:bidi="ar"/>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884D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sz w:val="30"/>
                <w:szCs w:val="30"/>
                <w:u w:val="none"/>
              </w:rPr>
              <w:t>⑥</w:t>
            </w:r>
          </w:p>
        </w:tc>
        <w:tc>
          <w:tcPr>
            <w:tcW w:w="18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BC1B6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血液肿瘤染色体核型分析</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E748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20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BE31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450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6C22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9000</w:t>
            </w:r>
          </w:p>
        </w:tc>
      </w:tr>
      <w:tr w14:paraId="23425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448" w:type="pct"/>
            <w:vMerge w:val="continue"/>
            <w:tcBorders>
              <w:left w:val="single" w:color="000000" w:sz="4" w:space="0"/>
              <w:right w:val="single" w:color="000000" w:sz="4" w:space="0"/>
            </w:tcBorders>
            <w:shd w:val="clear" w:color="auto" w:fill="auto"/>
            <w:vAlign w:val="center"/>
          </w:tcPr>
          <w:p w14:paraId="31BE615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30"/>
                <w:szCs w:val="30"/>
                <w:u w:val="none"/>
                <w:lang w:val="en-US" w:eastAsia="zh-CN" w:bidi="ar"/>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51A6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sz w:val="30"/>
                <w:szCs w:val="30"/>
                <w:u w:val="none"/>
              </w:rPr>
              <w:t>⑦</w:t>
            </w:r>
          </w:p>
        </w:tc>
        <w:tc>
          <w:tcPr>
            <w:tcW w:w="18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D8F27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染色体核型分析</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DFD9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75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DE2A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450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0503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33750</w:t>
            </w:r>
          </w:p>
        </w:tc>
      </w:tr>
      <w:tr w14:paraId="1C5D7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448" w:type="pct"/>
            <w:vMerge w:val="continue"/>
            <w:tcBorders>
              <w:left w:val="single" w:color="000000" w:sz="4" w:space="0"/>
              <w:right w:val="single" w:color="000000" w:sz="4" w:space="0"/>
            </w:tcBorders>
            <w:shd w:val="clear" w:color="auto" w:fill="auto"/>
            <w:vAlign w:val="center"/>
          </w:tcPr>
          <w:p w14:paraId="3ADE66E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30"/>
                <w:szCs w:val="30"/>
                <w:u w:val="none"/>
                <w:lang w:val="en-US" w:eastAsia="zh-CN" w:bidi="ar"/>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8F1C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sz w:val="30"/>
                <w:szCs w:val="30"/>
                <w:u w:val="none"/>
              </w:rPr>
              <w:t>⑧</w:t>
            </w:r>
          </w:p>
        </w:tc>
        <w:tc>
          <w:tcPr>
            <w:tcW w:w="18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B9988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白血病55种融合基因</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1E5D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25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5AB0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1520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0BA0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38000</w:t>
            </w:r>
          </w:p>
        </w:tc>
      </w:tr>
      <w:tr w14:paraId="32B68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448" w:type="pct"/>
            <w:vMerge w:val="continue"/>
            <w:tcBorders>
              <w:left w:val="single" w:color="000000" w:sz="4" w:space="0"/>
              <w:bottom w:val="single" w:color="000000" w:sz="4" w:space="0"/>
              <w:right w:val="single" w:color="000000" w:sz="4" w:space="0"/>
            </w:tcBorders>
            <w:shd w:val="clear" w:color="auto" w:fill="auto"/>
            <w:vAlign w:val="center"/>
          </w:tcPr>
          <w:p w14:paraId="2EF0C2C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30"/>
                <w:szCs w:val="30"/>
                <w:u w:val="none"/>
                <w:lang w:val="en-US" w:eastAsia="zh-CN" w:bidi="ar"/>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D286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sz w:val="30"/>
                <w:szCs w:val="30"/>
                <w:u w:val="none"/>
              </w:rPr>
              <w:t>⑨</w:t>
            </w:r>
          </w:p>
        </w:tc>
        <w:tc>
          <w:tcPr>
            <w:tcW w:w="18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12F09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胃肠道肿瘤基因甲基化血液联合检测</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F7B5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20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6A98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700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C6A1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14000</w:t>
            </w:r>
          </w:p>
        </w:tc>
      </w:tr>
      <w:tr w14:paraId="6D018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342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B4B28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预算合计金额</w:t>
            </w:r>
          </w:p>
        </w:tc>
        <w:tc>
          <w:tcPr>
            <w:tcW w:w="15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32406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 xml:space="preserve">163950 </w:t>
            </w:r>
          </w:p>
        </w:tc>
      </w:tr>
      <w:tr w14:paraId="22747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 w:hRule="atLeast"/>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7D77E">
            <w:pPr>
              <w:keepNext w:val="0"/>
              <w:keepLines w:val="0"/>
              <w:suppressLineNumbers w:val="0"/>
              <w:spacing w:before="0" w:beforeAutospacing="0" w:after="0" w:afterAutospacing="0"/>
              <w:ind w:left="0" w:leftChars="0" w:right="0" w:rightChars="0"/>
              <w:jc w:val="center"/>
              <w:rPr>
                <w:rFonts w:hint="default"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2</w:t>
            </w:r>
          </w:p>
        </w:tc>
        <w:tc>
          <w:tcPr>
            <w:tcW w:w="15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484ADB">
            <w:pPr>
              <w:keepNext w:val="0"/>
              <w:keepLines w:val="0"/>
              <w:suppressLineNumbers w:val="0"/>
              <w:spacing w:before="0" w:beforeAutospacing="0" w:after="0" w:afterAutospacing="0"/>
              <w:ind w:left="0" w:leftChars="0" w:right="0" w:rightChars="0"/>
              <w:jc w:val="center"/>
              <w:rPr>
                <w:rFonts w:hint="eastAsia" w:ascii="仿宋" w:hAnsi="仿宋" w:eastAsia="仿宋" w:cs="仿宋"/>
                <w:kern w:val="0"/>
                <w:sz w:val="30"/>
                <w:szCs w:val="30"/>
              </w:rPr>
            </w:pPr>
            <w:r>
              <w:rPr>
                <w:rFonts w:hint="eastAsia" w:ascii="仿宋" w:hAnsi="仿宋" w:eastAsia="仿宋" w:cs="仿宋"/>
                <w:kern w:val="0"/>
                <w:sz w:val="30"/>
                <w:szCs w:val="30"/>
              </w:rPr>
              <w:t>付款条件</w:t>
            </w:r>
          </w:p>
        </w:tc>
        <w:tc>
          <w:tcPr>
            <w:tcW w:w="297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96B44F4">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color w:val="000000"/>
                <w:kern w:val="0"/>
                <w:sz w:val="30"/>
                <w:szCs w:val="30"/>
              </w:rPr>
              <w:t>合格率达标按月度工作量</w:t>
            </w:r>
            <w:r>
              <w:rPr>
                <w:rFonts w:hint="eastAsia" w:ascii="仿宋" w:hAnsi="仿宋" w:eastAsia="仿宋" w:cs="仿宋"/>
                <w:color w:val="000000"/>
                <w:kern w:val="0"/>
                <w:sz w:val="30"/>
                <w:szCs w:val="30"/>
                <w:lang w:val="en-US" w:eastAsia="zh-CN"/>
              </w:rPr>
              <w:t>据实结算</w:t>
            </w:r>
          </w:p>
        </w:tc>
      </w:tr>
      <w:tr w14:paraId="73BD9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 w:hRule="atLeast"/>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11DB6">
            <w:pPr>
              <w:keepNext w:val="0"/>
              <w:keepLines w:val="0"/>
              <w:suppressLineNumbers w:val="0"/>
              <w:spacing w:before="0" w:beforeAutospacing="0" w:after="0" w:afterAutospacing="0"/>
              <w:ind w:left="0" w:leftChars="0" w:right="0" w:rightChars="0"/>
              <w:jc w:val="center"/>
              <w:rPr>
                <w:rFonts w:hint="default"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3</w:t>
            </w:r>
          </w:p>
        </w:tc>
        <w:tc>
          <w:tcPr>
            <w:tcW w:w="15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9EC5AB">
            <w:pPr>
              <w:keepNext w:val="0"/>
              <w:keepLines w:val="0"/>
              <w:suppressLineNumbers w:val="0"/>
              <w:spacing w:before="0" w:beforeAutospacing="0" w:after="0" w:afterAutospacing="0"/>
              <w:ind w:left="0" w:leftChars="0" w:right="0" w:rightChars="0"/>
              <w:jc w:val="center"/>
              <w:rPr>
                <w:rFonts w:hint="eastAsia" w:ascii="仿宋" w:hAnsi="仿宋" w:eastAsia="仿宋" w:cs="仿宋"/>
                <w:kern w:val="0"/>
                <w:sz w:val="30"/>
                <w:szCs w:val="30"/>
              </w:rPr>
            </w:pPr>
            <w:r>
              <w:rPr>
                <w:rFonts w:hint="eastAsia" w:ascii="仿宋" w:hAnsi="仿宋" w:eastAsia="仿宋" w:cs="仿宋"/>
                <w:kern w:val="0"/>
                <w:sz w:val="30"/>
                <w:szCs w:val="30"/>
              </w:rPr>
              <w:t>服务期</w:t>
            </w:r>
          </w:p>
        </w:tc>
        <w:tc>
          <w:tcPr>
            <w:tcW w:w="297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C6A6566">
            <w:pPr>
              <w:keepNext w:val="0"/>
              <w:keepLines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kern w:val="0"/>
                <w:sz w:val="30"/>
                <w:szCs w:val="30"/>
              </w:rPr>
              <w:t>一年（年度考核合格可续签，不超三年）</w:t>
            </w:r>
          </w:p>
        </w:tc>
      </w:tr>
      <w:tr w14:paraId="6BA6D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 w:hRule="atLeast"/>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EA1D6">
            <w:pPr>
              <w:keepNext w:val="0"/>
              <w:keepLines w:val="0"/>
              <w:suppressLineNumbers w:val="0"/>
              <w:spacing w:before="0" w:beforeAutospacing="0" w:after="0" w:afterAutospacing="0"/>
              <w:ind w:left="0" w:leftChars="0" w:right="0" w:rightChars="0"/>
              <w:jc w:val="center"/>
              <w:rPr>
                <w:rFonts w:hint="default"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4</w:t>
            </w:r>
          </w:p>
        </w:tc>
        <w:tc>
          <w:tcPr>
            <w:tcW w:w="15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2EF3E4">
            <w:pPr>
              <w:keepNext w:val="0"/>
              <w:keepLines w:val="0"/>
              <w:suppressLineNumbers w:val="0"/>
              <w:spacing w:before="0" w:beforeAutospacing="0" w:after="0" w:afterAutospacing="0"/>
              <w:ind w:left="0" w:leftChars="0" w:right="0" w:rightChars="0"/>
              <w:jc w:val="center"/>
              <w:rPr>
                <w:rFonts w:hint="eastAsia" w:ascii="仿宋" w:hAnsi="仿宋" w:eastAsia="仿宋" w:cs="仿宋"/>
                <w:kern w:val="0"/>
                <w:sz w:val="30"/>
                <w:szCs w:val="30"/>
              </w:rPr>
            </w:pPr>
            <w:r>
              <w:rPr>
                <w:rFonts w:hint="eastAsia" w:ascii="仿宋" w:hAnsi="仿宋" w:eastAsia="仿宋" w:cs="仿宋"/>
                <w:kern w:val="0"/>
                <w:sz w:val="30"/>
                <w:szCs w:val="30"/>
              </w:rPr>
              <w:t>服务地点</w:t>
            </w:r>
          </w:p>
        </w:tc>
        <w:tc>
          <w:tcPr>
            <w:tcW w:w="297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54CFE09">
            <w:pPr>
              <w:keepNext w:val="0"/>
              <w:keepLines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kern w:val="0"/>
                <w:sz w:val="30"/>
                <w:szCs w:val="30"/>
                <w:highlight w:val="none"/>
              </w:rPr>
              <w:t>鄂尔多斯市中心医院</w:t>
            </w:r>
          </w:p>
        </w:tc>
      </w:tr>
      <w:tr w14:paraId="3C80E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 w:hRule="atLeast"/>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7BECA">
            <w:pPr>
              <w:keepNext w:val="0"/>
              <w:keepLines w:val="0"/>
              <w:suppressLineNumbers w:val="0"/>
              <w:spacing w:before="0" w:beforeAutospacing="0" w:after="0" w:afterAutospacing="0"/>
              <w:ind w:left="0" w:leftChars="0" w:right="0" w:rightChars="0"/>
              <w:jc w:val="center"/>
              <w:rPr>
                <w:rFonts w:hint="default"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5</w:t>
            </w:r>
          </w:p>
        </w:tc>
        <w:tc>
          <w:tcPr>
            <w:tcW w:w="15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98E29F">
            <w:pPr>
              <w:keepNext w:val="0"/>
              <w:keepLines w:val="0"/>
              <w:suppressLineNumbers w:val="0"/>
              <w:spacing w:before="0" w:beforeAutospacing="0" w:after="0" w:afterAutospacing="0"/>
              <w:ind w:left="0" w:leftChars="0" w:right="0" w:rightChars="0"/>
              <w:jc w:val="center"/>
              <w:rPr>
                <w:rFonts w:hint="default"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资质要求</w:t>
            </w:r>
          </w:p>
        </w:tc>
        <w:tc>
          <w:tcPr>
            <w:tcW w:w="297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AC55488">
            <w:pPr>
              <w:spacing w:line="560" w:lineRule="exact"/>
              <w:rPr>
                <w:rFonts w:hint="eastAsia" w:ascii="仿宋" w:hAnsi="仿宋" w:eastAsia="仿宋" w:cs="仿宋"/>
                <w:kern w:val="0"/>
                <w:sz w:val="30"/>
                <w:szCs w:val="30"/>
                <w:highlight w:val="none"/>
              </w:rPr>
            </w:pPr>
            <w:r>
              <w:rPr>
                <w:rFonts w:hint="eastAsia" w:ascii="仿宋" w:hAnsi="仿宋" w:eastAsia="仿宋" w:cs="仿宋"/>
                <w:kern w:val="0"/>
                <w:sz w:val="30"/>
                <w:szCs w:val="30"/>
                <w:lang w:val="en-US" w:eastAsia="zh-CN"/>
              </w:rPr>
              <w:t>投标人</w:t>
            </w:r>
            <w:r>
              <w:rPr>
                <w:rFonts w:ascii="仿宋" w:hAnsi="仿宋" w:eastAsia="仿宋" w:cs="仿宋"/>
                <w:kern w:val="0"/>
                <w:sz w:val="30"/>
                <w:szCs w:val="30"/>
              </w:rPr>
              <w:t>具有</w:t>
            </w:r>
            <w:r>
              <w:rPr>
                <w:rFonts w:hint="eastAsia" w:ascii="仿宋" w:hAnsi="仿宋" w:eastAsia="仿宋" w:cs="仿宋"/>
                <w:kern w:val="0"/>
                <w:sz w:val="30"/>
                <w:szCs w:val="30"/>
                <w:lang w:val="en-US" w:eastAsia="zh-CN"/>
              </w:rPr>
              <w:t>有效的</w:t>
            </w:r>
            <w:r>
              <w:rPr>
                <w:rFonts w:ascii="仿宋" w:hAnsi="仿宋" w:eastAsia="仿宋" w:cs="仿宋"/>
                <w:kern w:val="0"/>
                <w:sz w:val="30"/>
                <w:szCs w:val="30"/>
              </w:rPr>
              <w:t>医疗机构执业许可证，诊疗科目包含医学检验科，注册范围包括但不限于：临床体液血液专业、临床微生物专业、临床生化专业、临床免疫血清学专业、临床细胞分子遗传学专业</w:t>
            </w:r>
            <w:r>
              <w:rPr>
                <w:rFonts w:hint="eastAsia" w:ascii="仿宋" w:hAnsi="仿宋" w:eastAsia="仿宋" w:cs="仿宋"/>
                <w:kern w:val="0"/>
                <w:sz w:val="30"/>
                <w:szCs w:val="30"/>
                <w:lang w:eastAsia="zh-CN"/>
              </w:rPr>
              <w:t>。</w:t>
            </w:r>
          </w:p>
        </w:tc>
      </w:tr>
    </w:tbl>
    <w:p w14:paraId="6E4C0A80">
      <w:pPr>
        <w:rPr>
          <w:rFonts w:hint="eastAsia" w:hAnsi="宋体"/>
          <w:sz w:val="24"/>
          <w:szCs w:val="24"/>
          <w:lang w:val="en-US" w:eastAsia="zh-CN"/>
        </w:rPr>
      </w:pPr>
      <w:r>
        <w:rPr>
          <w:rFonts w:hint="eastAsia" w:hAnsi="宋体"/>
          <w:sz w:val="24"/>
          <w:szCs w:val="24"/>
          <w:lang w:val="en-US" w:eastAsia="zh-CN"/>
        </w:rPr>
        <w:t xml:space="preserve">  </w:t>
      </w:r>
    </w:p>
    <w:p w14:paraId="35D196D3">
      <w:pPr>
        <w:keepNext w:val="0"/>
        <w:keepLines w:val="0"/>
        <w:pageBreakBefore w:val="0"/>
        <w:widowControl/>
        <w:numPr>
          <w:ilvl w:val="0"/>
          <w:numId w:val="2"/>
        </w:numPr>
        <w:kinsoku/>
        <w:wordWrap/>
        <w:overflowPunct/>
        <w:topLinePunct w:val="0"/>
        <w:autoSpaceDE/>
        <w:autoSpaceDN/>
        <w:bidi w:val="0"/>
        <w:adjustRightInd/>
        <w:snapToGrid/>
        <w:ind w:firstLine="562" w:firstLineChars="200"/>
        <w:jc w:val="both"/>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项目概况</w:t>
      </w:r>
    </w:p>
    <w:p w14:paraId="07C9A238">
      <w:pPr>
        <w:numPr>
          <w:ilvl w:val="0"/>
          <w:numId w:val="0"/>
        </w:numPr>
        <w:spacing w:line="560" w:lineRule="exact"/>
        <w:ind w:firstLine="560" w:firstLineChars="200"/>
        <w:jc w:val="left"/>
        <w:rPr>
          <w:rFonts w:hint="eastAsia" w:ascii="仿宋" w:hAnsi="仿宋" w:eastAsia="仿宋" w:cs="仿宋"/>
          <w:sz w:val="28"/>
          <w:szCs w:val="28"/>
          <w:lang w:eastAsia="zh" w:bidi="ar"/>
          <w:woUserID w:val="2"/>
        </w:rPr>
      </w:pPr>
      <w:r>
        <w:rPr>
          <w:rFonts w:hint="eastAsia" w:ascii="仿宋" w:hAnsi="仿宋" w:eastAsia="仿宋" w:cs="仿宋"/>
          <w:sz w:val="28"/>
          <w:szCs w:val="28"/>
          <w:lang w:eastAsia="zh" w:bidi="ar"/>
          <w:woUserID w:val="2"/>
        </w:rPr>
        <w:t>（一）项目基本情况介绍</w:t>
      </w:r>
    </w:p>
    <w:p w14:paraId="33760C6D">
      <w:pPr>
        <w:numPr>
          <w:ilvl w:val="0"/>
          <w:numId w:val="0"/>
        </w:numPr>
        <w:spacing w:line="560" w:lineRule="exact"/>
        <w:ind w:firstLine="560" w:firstLineChars="200"/>
        <w:jc w:val="left"/>
        <w:rPr>
          <w:rFonts w:hint="eastAsia" w:ascii="仿宋" w:hAnsi="仿宋" w:eastAsia="仿宋" w:cs="仿宋"/>
          <w:sz w:val="28"/>
          <w:szCs w:val="28"/>
          <w:lang w:eastAsia="zh" w:bidi="ar"/>
          <w:woUserID w:val="2"/>
        </w:rPr>
      </w:pPr>
      <w:r>
        <w:rPr>
          <w:rFonts w:hint="eastAsia" w:ascii="仿宋" w:hAnsi="仿宋" w:eastAsia="仿宋" w:cs="仿宋"/>
          <w:sz w:val="28"/>
          <w:szCs w:val="28"/>
          <w:lang w:eastAsia="zh" w:bidi="ar"/>
          <w:woUserID w:val="2"/>
        </w:rPr>
        <w:t>根据内卫办医急字〔2024〕879号《内蒙古自治区卫生健康委办公室关于加强公立医疗机构外送样本检测管理工作</w:t>
      </w:r>
      <w:r>
        <w:rPr>
          <w:rFonts w:hint="eastAsia" w:ascii="仿宋" w:hAnsi="仿宋" w:eastAsia="仿宋" w:cs="仿宋"/>
          <w:sz w:val="28"/>
          <w:szCs w:val="28"/>
          <w:lang w:eastAsia="zh-CN" w:bidi="ar"/>
          <w:woUserID w:val="2"/>
        </w:rPr>
        <w:t>的通知</w:t>
      </w:r>
      <w:r>
        <w:rPr>
          <w:rFonts w:hint="eastAsia" w:ascii="仿宋" w:hAnsi="仿宋" w:eastAsia="仿宋" w:cs="仿宋"/>
          <w:sz w:val="28"/>
          <w:szCs w:val="28"/>
          <w:lang w:eastAsia="zh" w:bidi="ar"/>
          <w:woUserID w:val="2"/>
        </w:rPr>
        <w:t>》的要求，我院将临床确有诊疗需要</w:t>
      </w:r>
      <w:r>
        <w:rPr>
          <w:rFonts w:hint="eastAsia" w:ascii="仿宋" w:hAnsi="仿宋" w:eastAsia="仿宋" w:cs="仿宋"/>
          <w:sz w:val="28"/>
          <w:szCs w:val="28"/>
          <w:lang w:eastAsia="zh-CN" w:bidi="ar"/>
          <w:woUserID w:val="2"/>
        </w:rPr>
        <w:t>、但</w:t>
      </w:r>
      <w:r>
        <w:rPr>
          <w:rFonts w:hint="eastAsia" w:ascii="仿宋" w:hAnsi="仿宋" w:eastAsia="仿宋" w:cs="仿宋"/>
          <w:sz w:val="28"/>
          <w:szCs w:val="28"/>
          <w:lang w:eastAsia="zh" w:bidi="ar"/>
          <w:woUserID w:val="2"/>
        </w:rPr>
        <w:t>自身不具备相应资质和能力的样本检测项目，需外送至院外医学检验实验室（以下简称“第三方检测机构”）进行检测的检验项目</w:t>
      </w:r>
      <w:r>
        <w:rPr>
          <w:rFonts w:hint="eastAsia" w:ascii="仿宋" w:hAnsi="仿宋" w:eastAsia="仿宋" w:cs="仿宋"/>
          <w:sz w:val="28"/>
          <w:szCs w:val="28"/>
          <w:lang w:eastAsia="zh-CN" w:bidi="ar"/>
          <w:woUserID w:val="2"/>
        </w:rPr>
        <w:t>，纳入</w:t>
      </w:r>
      <w:r>
        <w:rPr>
          <w:rFonts w:hint="eastAsia" w:ascii="仿宋" w:hAnsi="仿宋" w:eastAsia="仿宋" w:cs="仿宋"/>
          <w:sz w:val="28"/>
          <w:szCs w:val="28"/>
          <w:lang w:eastAsia="zh" w:bidi="ar"/>
          <w:woUserID w:val="2"/>
        </w:rPr>
        <w:t>外送样本检测项目适用范围。</w:t>
      </w:r>
    </w:p>
    <w:p w14:paraId="75CA7EFA">
      <w:pPr>
        <w:numPr>
          <w:ilvl w:val="0"/>
          <w:numId w:val="3"/>
        </w:numPr>
        <w:spacing w:line="560" w:lineRule="exact"/>
        <w:ind w:firstLine="600" w:firstLineChars="200"/>
        <w:jc w:val="left"/>
        <w:rPr>
          <w:rFonts w:hint="eastAsia" w:ascii="仿宋" w:hAnsi="仿宋" w:eastAsia="仿宋" w:cs="仿宋"/>
          <w:sz w:val="30"/>
          <w:szCs w:val="30"/>
        </w:rPr>
      </w:pPr>
      <w:r>
        <w:rPr>
          <w:rFonts w:hint="eastAsia" w:ascii="仿宋" w:hAnsi="仿宋" w:eastAsia="仿宋" w:cs="仿宋"/>
          <w:sz w:val="30"/>
          <w:szCs w:val="30"/>
        </w:rPr>
        <w:t>技术参数和要求（功能和质量）</w:t>
      </w:r>
    </w:p>
    <w:tbl>
      <w:tblPr>
        <w:tblStyle w:val="12"/>
        <w:tblW w:w="10378" w:type="dxa"/>
        <w:tblInd w:w="-4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6"/>
        <w:gridCol w:w="822"/>
        <w:gridCol w:w="889"/>
        <w:gridCol w:w="7381"/>
      </w:tblGrid>
      <w:tr w14:paraId="289D7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trPr>
        <w:tc>
          <w:tcPr>
            <w:tcW w:w="1286" w:type="dxa"/>
            <w:tcBorders>
              <w:top w:val="single" w:color="auto" w:sz="4" w:space="0"/>
              <w:left w:val="single" w:color="auto" w:sz="4" w:space="0"/>
              <w:bottom w:val="single" w:color="auto" w:sz="4" w:space="0"/>
              <w:right w:val="single" w:color="auto" w:sz="4" w:space="0"/>
            </w:tcBorders>
            <w:vAlign w:val="center"/>
          </w:tcPr>
          <w:p w14:paraId="09FE654A">
            <w:pPr>
              <w:spacing w:beforeAutospacing="1" w:line="276" w:lineRule="auto"/>
              <w:jc w:val="center"/>
              <w:rPr>
                <w:rFonts w:hint="eastAsia" w:ascii="仿宋" w:hAnsi="仿宋" w:eastAsia="仿宋" w:cs="仿宋"/>
                <w:b/>
                <w:bCs/>
                <w:sz w:val="30"/>
                <w:szCs w:val="30"/>
              </w:rPr>
            </w:pPr>
          </w:p>
        </w:tc>
        <w:tc>
          <w:tcPr>
            <w:tcW w:w="822" w:type="dxa"/>
            <w:tcBorders>
              <w:top w:val="single" w:color="auto" w:sz="4" w:space="0"/>
              <w:left w:val="single" w:color="auto" w:sz="4" w:space="0"/>
              <w:bottom w:val="single" w:color="auto" w:sz="4" w:space="0"/>
              <w:right w:val="single" w:color="auto" w:sz="4" w:space="0"/>
            </w:tcBorders>
          </w:tcPr>
          <w:p w14:paraId="4417AF1B">
            <w:pPr>
              <w:spacing w:beforeAutospacing="1" w:line="276" w:lineRule="auto"/>
              <w:jc w:val="center"/>
              <w:rPr>
                <w:rFonts w:hint="eastAsia" w:ascii="仿宋" w:hAnsi="仿宋" w:eastAsia="仿宋" w:cs="仿宋"/>
                <w:b/>
                <w:bCs/>
                <w:sz w:val="30"/>
                <w:szCs w:val="30"/>
                <w:lang w:bidi="ar"/>
              </w:rPr>
            </w:pPr>
            <w:r>
              <w:rPr>
                <w:rFonts w:hint="eastAsia" w:ascii="仿宋" w:hAnsi="仿宋" w:eastAsia="仿宋" w:cs="仿宋"/>
                <w:b/>
                <w:bCs/>
                <w:sz w:val="30"/>
                <w:szCs w:val="30"/>
                <w:lang w:bidi="ar"/>
              </w:rPr>
              <w:t>参数性质</w:t>
            </w:r>
          </w:p>
        </w:tc>
        <w:tc>
          <w:tcPr>
            <w:tcW w:w="889" w:type="dxa"/>
            <w:tcBorders>
              <w:top w:val="single" w:color="auto" w:sz="4" w:space="0"/>
              <w:left w:val="single" w:color="auto" w:sz="4" w:space="0"/>
              <w:bottom w:val="single" w:color="auto" w:sz="4" w:space="0"/>
              <w:right w:val="single" w:color="auto" w:sz="4" w:space="0"/>
            </w:tcBorders>
            <w:vAlign w:val="center"/>
          </w:tcPr>
          <w:p w14:paraId="7F806FF7">
            <w:pPr>
              <w:spacing w:beforeAutospacing="1" w:line="276" w:lineRule="auto"/>
              <w:jc w:val="center"/>
              <w:rPr>
                <w:rFonts w:hint="eastAsia" w:ascii="仿宋" w:hAnsi="仿宋" w:eastAsia="仿宋" w:cs="仿宋"/>
                <w:b/>
                <w:bCs/>
                <w:sz w:val="30"/>
                <w:szCs w:val="30"/>
              </w:rPr>
            </w:pPr>
            <w:r>
              <w:rPr>
                <w:rFonts w:hint="eastAsia" w:ascii="仿宋" w:hAnsi="仿宋" w:eastAsia="仿宋" w:cs="仿宋"/>
                <w:b/>
                <w:bCs/>
                <w:sz w:val="30"/>
                <w:szCs w:val="30"/>
                <w:lang w:bidi="ar"/>
              </w:rPr>
              <w:t>序号</w:t>
            </w:r>
          </w:p>
        </w:tc>
        <w:tc>
          <w:tcPr>
            <w:tcW w:w="7381" w:type="dxa"/>
            <w:tcBorders>
              <w:top w:val="single" w:color="auto" w:sz="4" w:space="0"/>
              <w:left w:val="single" w:color="auto" w:sz="4" w:space="0"/>
              <w:bottom w:val="single" w:color="auto" w:sz="4" w:space="0"/>
              <w:right w:val="single" w:color="auto" w:sz="4" w:space="0"/>
            </w:tcBorders>
            <w:vAlign w:val="center"/>
          </w:tcPr>
          <w:p w14:paraId="7D545DBF">
            <w:pPr>
              <w:spacing w:beforeAutospacing="1" w:line="276" w:lineRule="auto"/>
              <w:jc w:val="center"/>
              <w:rPr>
                <w:rFonts w:hint="eastAsia" w:ascii="仿宋" w:hAnsi="仿宋" w:eastAsia="仿宋" w:cs="仿宋"/>
                <w:b/>
                <w:bCs/>
                <w:sz w:val="30"/>
                <w:szCs w:val="30"/>
              </w:rPr>
            </w:pPr>
            <w:r>
              <w:rPr>
                <w:rFonts w:hint="eastAsia" w:ascii="仿宋" w:hAnsi="仿宋" w:eastAsia="仿宋" w:cs="仿宋"/>
                <w:b/>
                <w:bCs/>
                <w:sz w:val="30"/>
                <w:szCs w:val="30"/>
                <w:lang w:bidi="ar"/>
              </w:rPr>
              <w:t>参数</w:t>
            </w:r>
          </w:p>
        </w:tc>
      </w:tr>
      <w:tr w14:paraId="66A1B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2" w:hRule="atLeast"/>
        </w:trPr>
        <w:tc>
          <w:tcPr>
            <w:tcW w:w="1286" w:type="dxa"/>
            <w:vMerge w:val="restart"/>
            <w:tcBorders>
              <w:top w:val="single" w:color="auto" w:sz="4" w:space="0"/>
              <w:left w:val="single" w:color="auto" w:sz="4" w:space="0"/>
              <w:right w:val="single" w:color="auto" w:sz="4" w:space="0"/>
            </w:tcBorders>
            <w:vAlign w:val="center"/>
          </w:tcPr>
          <w:p w14:paraId="3B99A565">
            <w:pPr>
              <w:spacing w:beforeAutospacing="1" w:line="276" w:lineRule="auto"/>
              <w:jc w:val="left"/>
              <w:rPr>
                <w:rFonts w:hint="eastAsia" w:ascii="仿宋" w:hAnsi="仿宋" w:eastAsia="仿宋" w:cs="仿宋"/>
                <w:sz w:val="30"/>
                <w:szCs w:val="30"/>
              </w:rPr>
            </w:pPr>
            <w:r>
              <w:rPr>
                <w:rFonts w:hint="eastAsia" w:ascii="仿宋" w:hAnsi="仿宋" w:eastAsia="仿宋" w:cs="仿宋"/>
                <w:sz w:val="30"/>
                <w:szCs w:val="30"/>
                <w:lang w:eastAsia="zh" w:bidi="ar"/>
              </w:rPr>
              <w:t>1.</w:t>
            </w:r>
            <w:r>
              <w:rPr>
                <w:rFonts w:hint="eastAsia" w:ascii="仿宋" w:hAnsi="仿宋" w:eastAsia="仿宋" w:cs="仿宋"/>
                <w:sz w:val="30"/>
                <w:szCs w:val="30"/>
                <w:lang w:bidi="ar"/>
              </w:rPr>
              <w:t>服务总体原则</w:t>
            </w:r>
          </w:p>
        </w:tc>
        <w:tc>
          <w:tcPr>
            <w:tcW w:w="822" w:type="dxa"/>
            <w:tcBorders>
              <w:top w:val="single" w:color="auto" w:sz="4" w:space="0"/>
              <w:left w:val="single" w:color="auto" w:sz="4" w:space="0"/>
              <w:right w:val="single" w:color="auto" w:sz="4" w:space="0"/>
            </w:tcBorders>
          </w:tcPr>
          <w:p w14:paraId="76AAA31F">
            <w:pPr>
              <w:spacing w:beforeAutospacing="1" w:line="276" w:lineRule="auto"/>
              <w:jc w:val="center"/>
              <w:rPr>
                <w:rFonts w:hint="eastAsia" w:ascii="仿宋" w:hAnsi="仿宋" w:eastAsia="仿宋" w:cs="仿宋"/>
                <w:sz w:val="30"/>
                <w:szCs w:val="30"/>
                <w:lang w:bidi="ar"/>
              </w:rPr>
            </w:pPr>
          </w:p>
        </w:tc>
        <w:tc>
          <w:tcPr>
            <w:tcW w:w="889" w:type="dxa"/>
            <w:tcBorders>
              <w:top w:val="single" w:color="auto" w:sz="4" w:space="0"/>
              <w:left w:val="single" w:color="auto" w:sz="4" w:space="0"/>
              <w:bottom w:val="single" w:color="auto" w:sz="4" w:space="0"/>
              <w:right w:val="single" w:color="auto" w:sz="4" w:space="0"/>
            </w:tcBorders>
            <w:vAlign w:val="center"/>
          </w:tcPr>
          <w:p w14:paraId="106ADC60">
            <w:pPr>
              <w:spacing w:beforeAutospacing="1" w:line="276" w:lineRule="auto"/>
              <w:jc w:val="center"/>
              <w:rPr>
                <w:rFonts w:hint="eastAsia" w:ascii="仿宋" w:hAnsi="仿宋" w:eastAsia="仿宋" w:cs="仿宋"/>
                <w:sz w:val="30"/>
                <w:szCs w:val="30"/>
              </w:rPr>
            </w:pPr>
            <w:r>
              <w:rPr>
                <w:rFonts w:hint="eastAsia" w:ascii="仿宋" w:hAnsi="仿宋" w:eastAsia="仿宋" w:cs="仿宋"/>
                <w:sz w:val="30"/>
                <w:szCs w:val="30"/>
                <w:lang w:bidi="ar"/>
              </w:rPr>
              <w:t>1.1</w:t>
            </w:r>
          </w:p>
        </w:tc>
        <w:tc>
          <w:tcPr>
            <w:tcW w:w="7381" w:type="dxa"/>
            <w:tcBorders>
              <w:top w:val="single" w:color="auto" w:sz="4" w:space="0"/>
              <w:left w:val="single" w:color="auto" w:sz="4" w:space="0"/>
              <w:bottom w:val="single" w:color="auto" w:sz="4" w:space="0"/>
              <w:right w:val="single" w:color="auto" w:sz="4" w:space="0"/>
            </w:tcBorders>
            <w:vAlign w:val="center"/>
          </w:tcPr>
          <w:p w14:paraId="6E9509B1">
            <w:pPr>
              <w:spacing w:beforeAutospacing="1" w:line="276" w:lineRule="auto"/>
              <w:jc w:val="left"/>
              <w:rPr>
                <w:rFonts w:hint="eastAsia" w:ascii="仿宋" w:hAnsi="仿宋" w:eastAsia="仿宋" w:cs="仿宋"/>
                <w:sz w:val="30"/>
                <w:szCs w:val="30"/>
              </w:rPr>
            </w:pPr>
            <w:r>
              <w:rPr>
                <w:rFonts w:hint="eastAsia" w:ascii="仿宋" w:hAnsi="仿宋" w:eastAsia="仿宋" w:cs="仿宋"/>
                <w:sz w:val="30"/>
                <w:szCs w:val="30"/>
                <w:lang w:bidi="ar"/>
              </w:rPr>
              <w:t>投标人须严格遵守《医疗机构临床实验室管理办法》《病原微生物实验室生物安全管理条例》、GB/T42186-2022《医学检验生物样本冷链物流运作规范》等国家、省/自治区、行业现行规范及标准。</w:t>
            </w:r>
          </w:p>
        </w:tc>
      </w:tr>
      <w:tr w14:paraId="555AD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trPr>
        <w:tc>
          <w:tcPr>
            <w:tcW w:w="1286" w:type="dxa"/>
            <w:vMerge w:val="continue"/>
            <w:tcBorders>
              <w:left w:val="single" w:color="auto" w:sz="4" w:space="0"/>
              <w:right w:val="single" w:color="auto" w:sz="4" w:space="0"/>
            </w:tcBorders>
            <w:vAlign w:val="center"/>
          </w:tcPr>
          <w:p w14:paraId="65AA60D2">
            <w:pPr>
              <w:spacing w:beforeAutospacing="1" w:line="276" w:lineRule="auto"/>
              <w:jc w:val="center"/>
              <w:rPr>
                <w:rFonts w:hint="eastAsia" w:ascii="仿宋" w:hAnsi="仿宋" w:eastAsia="仿宋" w:cs="仿宋"/>
                <w:sz w:val="30"/>
                <w:szCs w:val="30"/>
              </w:rPr>
            </w:pPr>
          </w:p>
        </w:tc>
        <w:tc>
          <w:tcPr>
            <w:tcW w:w="822" w:type="dxa"/>
            <w:tcBorders>
              <w:left w:val="single" w:color="auto" w:sz="4" w:space="0"/>
              <w:right w:val="single" w:color="auto" w:sz="4" w:space="0"/>
            </w:tcBorders>
          </w:tcPr>
          <w:p w14:paraId="4E48E1BD">
            <w:pPr>
              <w:spacing w:beforeAutospacing="1" w:line="276" w:lineRule="auto"/>
              <w:jc w:val="center"/>
              <w:rPr>
                <w:rFonts w:hint="eastAsia" w:ascii="仿宋" w:hAnsi="仿宋" w:eastAsia="仿宋" w:cs="仿宋"/>
                <w:sz w:val="30"/>
                <w:szCs w:val="30"/>
                <w:lang w:bidi="ar"/>
              </w:rPr>
            </w:pPr>
          </w:p>
        </w:tc>
        <w:tc>
          <w:tcPr>
            <w:tcW w:w="889" w:type="dxa"/>
            <w:tcBorders>
              <w:top w:val="single" w:color="auto" w:sz="4" w:space="0"/>
              <w:left w:val="single" w:color="auto" w:sz="4" w:space="0"/>
              <w:bottom w:val="single" w:color="auto" w:sz="4" w:space="0"/>
              <w:right w:val="single" w:color="auto" w:sz="4" w:space="0"/>
            </w:tcBorders>
            <w:vAlign w:val="center"/>
          </w:tcPr>
          <w:p w14:paraId="54514B3A">
            <w:pPr>
              <w:spacing w:beforeAutospacing="1" w:line="276" w:lineRule="auto"/>
              <w:jc w:val="center"/>
              <w:rPr>
                <w:rFonts w:hint="eastAsia" w:ascii="仿宋" w:hAnsi="仿宋" w:eastAsia="仿宋" w:cs="仿宋"/>
                <w:sz w:val="30"/>
                <w:szCs w:val="30"/>
              </w:rPr>
            </w:pPr>
            <w:r>
              <w:rPr>
                <w:rFonts w:hint="eastAsia" w:ascii="仿宋" w:hAnsi="仿宋" w:eastAsia="仿宋" w:cs="仿宋"/>
                <w:sz w:val="30"/>
                <w:szCs w:val="30"/>
                <w:lang w:bidi="ar"/>
              </w:rPr>
              <w:t>1.2</w:t>
            </w:r>
          </w:p>
        </w:tc>
        <w:tc>
          <w:tcPr>
            <w:tcW w:w="7381" w:type="dxa"/>
            <w:tcBorders>
              <w:top w:val="single" w:color="auto" w:sz="4" w:space="0"/>
              <w:left w:val="single" w:color="auto" w:sz="4" w:space="0"/>
              <w:bottom w:val="single" w:color="auto" w:sz="4" w:space="0"/>
              <w:right w:val="single" w:color="auto" w:sz="4" w:space="0"/>
            </w:tcBorders>
            <w:vAlign w:val="center"/>
          </w:tcPr>
          <w:p w14:paraId="4DBFE256">
            <w:pPr>
              <w:spacing w:beforeAutospacing="1" w:line="276" w:lineRule="auto"/>
              <w:jc w:val="left"/>
              <w:rPr>
                <w:rFonts w:hint="eastAsia" w:ascii="仿宋" w:hAnsi="仿宋" w:eastAsia="仿宋" w:cs="仿宋"/>
                <w:sz w:val="30"/>
                <w:szCs w:val="30"/>
              </w:rPr>
            </w:pPr>
            <w:r>
              <w:rPr>
                <w:rFonts w:hint="eastAsia" w:ascii="仿宋" w:hAnsi="仿宋" w:eastAsia="仿宋" w:cs="仿宋"/>
                <w:sz w:val="30"/>
                <w:szCs w:val="30"/>
                <w:lang w:bidi="ar"/>
              </w:rPr>
              <w:t>服务全过程实行闭环管理、全程可追溯，严禁转包、分包、转借检测资质。</w:t>
            </w:r>
          </w:p>
        </w:tc>
      </w:tr>
      <w:tr w14:paraId="47C83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286" w:type="dxa"/>
            <w:vMerge w:val="continue"/>
            <w:tcBorders>
              <w:left w:val="single" w:color="auto" w:sz="4" w:space="0"/>
              <w:bottom w:val="single" w:color="auto" w:sz="4" w:space="0"/>
              <w:right w:val="single" w:color="auto" w:sz="4" w:space="0"/>
            </w:tcBorders>
            <w:vAlign w:val="center"/>
          </w:tcPr>
          <w:p w14:paraId="18FCF22D">
            <w:pPr>
              <w:spacing w:beforeAutospacing="1" w:line="276" w:lineRule="auto"/>
              <w:jc w:val="center"/>
              <w:rPr>
                <w:rFonts w:hint="eastAsia" w:ascii="仿宋" w:hAnsi="仿宋" w:eastAsia="仿宋" w:cs="仿宋"/>
                <w:sz w:val="30"/>
                <w:szCs w:val="30"/>
              </w:rPr>
            </w:pPr>
          </w:p>
        </w:tc>
        <w:tc>
          <w:tcPr>
            <w:tcW w:w="822" w:type="dxa"/>
            <w:tcBorders>
              <w:left w:val="single" w:color="auto" w:sz="4" w:space="0"/>
              <w:bottom w:val="single" w:color="auto" w:sz="4" w:space="0"/>
              <w:right w:val="single" w:color="auto" w:sz="4" w:space="0"/>
            </w:tcBorders>
          </w:tcPr>
          <w:p w14:paraId="3AB33C82">
            <w:pPr>
              <w:spacing w:beforeAutospacing="1" w:line="276" w:lineRule="auto"/>
              <w:jc w:val="center"/>
              <w:rPr>
                <w:rFonts w:hint="eastAsia" w:ascii="仿宋" w:hAnsi="仿宋" w:eastAsia="仿宋" w:cs="仿宋"/>
                <w:sz w:val="30"/>
                <w:szCs w:val="30"/>
                <w:lang w:bidi="ar"/>
              </w:rPr>
            </w:pPr>
          </w:p>
        </w:tc>
        <w:tc>
          <w:tcPr>
            <w:tcW w:w="889" w:type="dxa"/>
            <w:tcBorders>
              <w:top w:val="single" w:color="auto" w:sz="4" w:space="0"/>
              <w:left w:val="single" w:color="auto" w:sz="4" w:space="0"/>
              <w:bottom w:val="single" w:color="auto" w:sz="4" w:space="0"/>
              <w:right w:val="single" w:color="auto" w:sz="4" w:space="0"/>
            </w:tcBorders>
            <w:vAlign w:val="center"/>
          </w:tcPr>
          <w:p w14:paraId="3AE35741">
            <w:pPr>
              <w:spacing w:beforeAutospacing="1" w:line="276" w:lineRule="auto"/>
              <w:jc w:val="center"/>
              <w:rPr>
                <w:rFonts w:hint="eastAsia" w:ascii="仿宋" w:hAnsi="仿宋" w:eastAsia="仿宋" w:cs="仿宋"/>
                <w:sz w:val="30"/>
                <w:szCs w:val="30"/>
              </w:rPr>
            </w:pPr>
            <w:r>
              <w:rPr>
                <w:rFonts w:hint="eastAsia" w:ascii="仿宋" w:hAnsi="仿宋" w:eastAsia="仿宋" w:cs="仿宋"/>
                <w:sz w:val="30"/>
                <w:szCs w:val="30"/>
                <w:lang w:bidi="ar"/>
              </w:rPr>
              <w:t>1.3</w:t>
            </w:r>
          </w:p>
        </w:tc>
        <w:tc>
          <w:tcPr>
            <w:tcW w:w="7381" w:type="dxa"/>
            <w:tcBorders>
              <w:top w:val="single" w:color="auto" w:sz="4" w:space="0"/>
              <w:left w:val="single" w:color="auto" w:sz="4" w:space="0"/>
              <w:bottom w:val="single" w:color="auto" w:sz="4" w:space="0"/>
              <w:right w:val="single" w:color="auto" w:sz="4" w:space="0"/>
            </w:tcBorders>
            <w:vAlign w:val="center"/>
          </w:tcPr>
          <w:p w14:paraId="3E972737">
            <w:pPr>
              <w:spacing w:beforeAutospacing="1" w:line="276" w:lineRule="auto"/>
              <w:jc w:val="left"/>
              <w:rPr>
                <w:rFonts w:hint="eastAsia" w:ascii="仿宋" w:hAnsi="仿宋" w:eastAsia="仿宋" w:cs="仿宋"/>
                <w:sz w:val="30"/>
                <w:szCs w:val="30"/>
              </w:rPr>
            </w:pPr>
            <w:r>
              <w:rPr>
                <w:rFonts w:hint="eastAsia" w:ascii="仿宋" w:hAnsi="仿宋" w:eastAsia="仿宋" w:cs="仿宋"/>
                <w:sz w:val="30"/>
                <w:szCs w:val="30"/>
                <w:lang w:bidi="ar"/>
              </w:rPr>
              <w:t>所有标本信息、患者资料、检测数据、报告成果所有权归属采购人，投标人仅限本项目服务使用，不得外泄、不得商用。</w:t>
            </w:r>
          </w:p>
        </w:tc>
      </w:tr>
      <w:tr w14:paraId="2B4FA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2" w:hRule="atLeast"/>
        </w:trPr>
        <w:tc>
          <w:tcPr>
            <w:tcW w:w="1286" w:type="dxa"/>
            <w:vMerge w:val="restart"/>
            <w:tcBorders>
              <w:top w:val="single" w:color="auto" w:sz="4" w:space="0"/>
              <w:left w:val="single" w:color="auto" w:sz="4" w:space="0"/>
              <w:right w:val="single" w:color="auto" w:sz="4" w:space="0"/>
            </w:tcBorders>
            <w:vAlign w:val="center"/>
          </w:tcPr>
          <w:p w14:paraId="6614C25A">
            <w:pPr>
              <w:spacing w:beforeAutospacing="1" w:line="276" w:lineRule="auto"/>
              <w:jc w:val="left"/>
              <w:rPr>
                <w:rFonts w:hint="eastAsia" w:ascii="仿宋" w:hAnsi="仿宋" w:eastAsia="仿宋" w:cs="仿宋"/>
                <w:sz w:val="30"/>
                <w:szCs w:val="30"/>
              </w:rPr>
            </w:pPr>
            <w:r>
              <w:rPr>
                <w:rFonts w:hint="eastAsia" w:ascii="仿宋" w:hAnsi="仿宋" w:eastAsia="仿宋" w:cs="仿宋"/>
                <w:sz w:val="30"/>
                <w:szCs w:val="30"/>
                <w:lang w:eastAsia="zh" w:bidi="ar"/>
              </w:rPr>
              <w:t>2.</w:t>
            </w:r>
            <w:r>
              <w:rPr>
                <w:rFonts w:hint="eastAsia" w:ascii="仿宋" w:hAnsi="仿宋" w:eastAsia="仿宋" w:cs="仿宋"/>
                <w:sz w:val="30"/>
                <w:szCs w:val="30"/>
                <w:lang w:bidi="ar"/>
              </w:rPr>
              <w:t>技术服务方案要求</w:t>
            </w:r>
          </w:p>
        </w:tc>
        <w:tc>
          <w:tcPr>
            <w:tcW w:w="822" w:type="dxa"/>
            <w:tcBorders>
              <w:top w:val="single" w:color="auto" w:sz="4" w:space="0"/>
              <w:left w:val="single" w:color="auto" w:sz="4" w:space="0"/>
              <w:right w:val="single" w:color="auto" w:sz="4" w:space="0"/>
            </w:tcBorders>
          </w:tcPr>
          <w:p w14:paraId="6F3EC8AF">
            <w:pPr>
              <w:spacing w:beforeAutospacing="1" w:line="276" w:lineRule="auto"/>
              <w:jc w:val="center"/>
              <w:rPr>
                <w:rFonts w:hint="eastAsia" w:ascii="仿宋" w:hAnsi="仿宋" w:eastAsia="仿宋" w:cs="仿宋"/>
                <w:sz w:val="30"/>
                <w:szCs w:val="30"/>
                <w:lang w:bidi="ar"/>
              </w:rPr>
            </w:pPr>
          </w:p>
        </w:tc>
        <w:tc>
          <w:tcPr>
            <w:tcW w:w="889" w:type="dxa"/>
            <w:tcBorders>
              <w:top w:val="single" w:color="auto" w:sz="4" w:space="0"/>
              <w:left w:val="single" w:color="auto" w:sz="4" w:space="0"/>
              <w:bottom w:val="single" w:color="auto" w:sz="4" w:space="0"/>
              <w:right w:val="single" w:color="auto" w:sz="4" w:space="0"/>
            </w:tcBorders>
            <w:vAlign w:val="center"/>
          </w:tcPr>
          <w:p w14:paraId="4570D973">
            <w:pPr>
              <w:spacing w:beforeAutospacing="1" w:line="276" w:lineRule="auto"/>
              <w:jc w:val="center"/>
              <w:rPr>
                <w:rFonts w:hint="eastAsia" w:ascii="仿宋" w:hAnsi="仿宋" w:eastAsia="仿宋" w:cs="仿宋"/>
                <w:sz w:val="30"/>
                <w:szCs w:val="30"/>
              </w:rPr>
            </w:pPr>
            <w:r>
              <w:rPr>
                <w:rFonts w:hint="eastAsia" w:ascii="仿宋" w:hAnsi="仿宋" w:eastAsia="仿宋" w:cs="仿宋"/>
                <w:sz w:val="30"/>
                <w:szCs w:val="30"/>
                <w:lang w:bidi="ar"/>
              </w:rPr>
              <w:t>2.1</w:t>
            </w:r>
          </w:p>
        </w:tc>
        <w:tc>
          <w:tcPr>
            <w:tcW w:w="7381" w:type="dxa"/>
            <w:tcBorders>
              <w:top w:val="single" w:color="auto" w:sz="4" w:space="0"/>
              <w:left w:val="single" w:color="auto" w:sz="4" w:space="0"/>
              <w:bottom w:val="single" w:color="auto" w:sz="4" w:space="0"/>
              <w:right w:val="single" w:color="auto" w:sz="4" w:space="0"/>
            </w:tcBorders>
            <w:vAlign w:val="center"/>
          </w:tcPr>
          <w:p w14:paraId="1552FA0E">
            <w:pPr>
              <w:spacing w:beforeAutospacing="1" w:line="276" w:lineRule="auto"/>
              <w:jc w:val="left"/>
              <w:rPr>
                <w:rFonts w:hint="eastAsia" w:ascii="仿宋" w:hAnsi="仿宋" w:eastAsia="仿宋" w:cs="仿宋"/>
                <w:sz w:val="30"/>
                <w:szCs w:val="30"/>
              </w:rPr>
            </w:pPr>
            <w:r>
              <w:rPr>
                <w:rFonts w:hint="eastAsia" w:ascii="仿宋" w:hAnsi="仿宋" w:eastAsia="仿宋" w:cs="仿宋"/>
                <w:sz w:val="30"/>
                <w:szCs w:val="30"/>
                <w:lang w:bidi="ar"/>
              </w:rPr>
              <w:t>项目人员配备：须明确项目组织架构、项目负责人、采样指导人员、物流运输人员、实验室检测人员、质量管控人员、售后对接专职人员配置；明确岗位职责、任职条件、专业资质、在岗值守机制，人员配置满足本项目日常及突发标本外送检测需求。</w:t>
            </w:r>
          </w:p>
        </w:tc>
      </w:tr>
      <w:tr w14:paraId="5C787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2" w:hRule="atLeast"/>
        </w:trPr>
        <w:tc>
          <w:tcPr>
            <w:tcW w:w="1286" w:type="dxa"/>
            <w:vMerge w:val="continue"/>
            <w:tcBorders>
              <w:left w:val="single" w:color="auto" w:sz="4" w:space="0"/>
              <w:right w:val="single" w:color="auto" w:sz="4" w:space="0"/>
            </w:tcBorders>
            <w:vAlign w:val="center"/>
          </w:tcPr>
          <w:p w14:paraId="7F356FBB">
            <w:pPr>
              <w:spacing w:beforeAutospacing="1" w:line="276" w:lineRule="auto"/>
              <w:jc w:val="center"/>
              <w:rPr>
                <w:rFonts w:hint="eastAsia" w:ascii="仿宋" w:hAnsi="仿宋" w:eastAsia="仿宋" w:cs="仿宋"/>
                <w:sz w:val="30"/>
                <w:szCs w:val="30"/>
              </w:rPr>
            </w:pPr>
          </w:p>
        </w:tc>
        <w:tc>
          <w:tcPr>
            <w:tcW w:w="822" w:type="dxa"/>
            <w:tcBorders>
              <w:left w:val="single" w:color="auto" w:sz="4" w:space="0"/>
              <w:right w:val="single" w:color="auto" w:sz="4" w:space="0"/>
            </w:tcBorders>
          </w:tcPr>
          <w:p w14:paraId="400C6546">
            <w:pPr>
              <w:spacing w:beforeAutospacing="1" w:line="276" w:lineRule="auto"/>
              <w:jc w:val="center"/>
              <w:rPr>
                <w:rFonts w:hint="eastAsia" w:ascii="仿宋" w:hAnsi="仿宋" w:eastAsia="仿宋" w:cs="仿宋"/>
                <w:sz w:val="30"/>
                <w:szCs w:val="30"/>
                <w:lang w:bidi="ar"/>
              </w:rPr>
            </w:pPr>
            <w:r>
              <w:rPr>
                <w:rFonts w:ascii="仿宋" w:hAnsi="仿宋" w:eastAsia="仿宋" w:cs="仿宋"/>
                <w:sz w:val="30"/>
                <w:szCs w:val="30"/>
                <w:lang w:bidi="ar"/>
              </w:rPr>
              <w:t>★</w:t>
            </w:r>
          </w:p>
        </w:tc>
        <w:tc>
          <w:tcPr>
            <w:tcW w:w="889" w:type="dxa"/>
            <w:tcBorders>
              <w:top w:val="single" w:color="auto" w:sz="4" w:space="0"/>
              <w:left w:val="single" w:color="auto" w:sz="4" w:space="0"/>
              <w:bottom w:val="single" w:color="auto" w:sz="4" w:space="0"/>
              <w:right w:val="single" w:color="auto" w:sz="4" w:space="0"/>
            </w:tcBorders>
            <w:vAlign w:val="center"/>
          </w:tcPr>
          <w:p w14:paraId="36961083">
            <w:pPr>
              <w:spacing w:beforeAutospacing="1" w:line="276" w:lineRule="auto"/>
              <w:jc w:val="center"/>
              <w:rPr>
                <w:rFonts w:hint="eastAsia" w:ascii="仿宋" w:hAnsi="仿宋" w:eastAsia="仿宋" w:cs="仿宋"/>
                <w:sz w:val="30"/>
                <w:szCs w:val="30"/>
                <w:lang w:bidi="ar"/>
              </w:rPr>
            </w:pPr>
            <w:r>
              <w:rPr>
                <w:rFonts w:hint="eastAsia" w:ascii="仿宋" w:hAnsi="仿宋" w:eastAsia="仿宋" w:cs="仿宋"/>
                <w:sz w:val="30"/>
                <w:szCs w:val="30"/>
                <w:lang w:bidi="ar"/>
              </w:rPr>
              <w:t>2.2</w:t>
            </w:r>
          </w:p>
        </w:tc>
        <w:tc>
          <w:tcPr>
            <w:tcW w:w="7381" w:type="dxa"/>
            <w:tcBorders>
              <w:top w:val="single" w:color="auto" w:sz="4" w:space="0"/>
              <w:left w:val="single" w:color="auto" w:sz="4" w:space="0"/>
              <w:bottom w:val="single" w:color="auto" w:sz="4" w:space="0"/>
              <w:right w:val="single" w:color="auto" w:sz="4" w:space="0"/>
            </w:tcBorders>
            <w:vAlign w:val="center"/>
          </w:tcPr>
          <w:p w14:paraId="36044283">
            <w:pPr>
              <w:spacing w:beforeAutospacing="1" w:line="276" w:lineRule="auto"/>
              <w:jc w:val="left"/>
              <w:rPr>
                <w:rFonts w:hint="eastAsia" w:ascii="仿宋" w:hAnsi="仿宋" w:eastAsia="仿宋" w:cs="仿宋"/>
                <w:sz w:val="30"/>
                <w:szCs w:val="30"/>
                <w:lang w:bidi="ar"/>
              </w:rPr>
            </w:pPr>
            <w:r>
              <w:rPr>
                <w:rFonts w:ascii="仿宋" w:hAnsi="仿宋" w:eastAsia="仿宋" w:cs="仿宋"/>
                <w:sz w:val="30"/>
                <w:szCs w:val="30"/>
                <w:lang w:bidi="ar"/>
              </w:rPr>
              <w:t>从事染色体核型分析的专业技术人员需具有遗传学培训证书。从事遗传病诊断、产前诊断（细胞分子遗传检测）人员，必须经省级卫健部门考核，取得《母婴保健技术考核合格证书》。</w:t>
            </w:r>
          </w:p>
        </w:tc>
      </w:tr>
      <w:tr w14:paraId="57190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2" w:hRule="atLeast"/>
        </w:trPr>
        <w:tc>
          <w:tcPr>
            <w:tcW w:w="1286" w:type="dxa"/>
            <w:vMerge w:val="continue"/>
            <w:tcBorders>
              <w:left w:val="single" w:color="auto" w:sz="4" w:space="0"/>
              <w:right w:val="single" w:color="auto" w:sz="4" w:space="0"/>
            </w:tcBorders>
            <w:vAlign w:val="center"/>
          </w:tcPr>
          <w:p w14:paraId="29B09E68">
            <w:pPr>
              <w:spacing w:beforeAutospacing="1" w:line="276" w:lineRule="auto"/>
              <w:jc w:val="center"/>
              <w:rPr>
                <w:rFonts w:hint="eastAsia" w:ascii="仿宋" w:hAnsi="仿宋" w:eastAsia="仿宋" w:cs="仿宋"/>
                <w:sz w:val="30"/>
                <w:szCs w:val="30"/>
              </w:rPr>
            </w:pPr>
          </w:p>
        </w:tc>
        <w:tc>
          <w:tcPr>
            <w:tcW w:w="822" w:type="dxa"/>
            <w:tcBorders>
              <w:left w:val="single" w:color="auto" w:sz="4" w:space="0"/>
              <w:right w:val="single" w:color="auto" w:sz="4" w:space="0"/>
            </w:tcBorders>
          </w:tcPr>
          <w:p w14:paraId="31D9A363">
            <w:pPr>
              <w:spacing w:beforeAutospacing="1" w:line="276" w:lineRule="auto"/>
              <w:jc w:val="center"/>
              <w:rPr>
                <w:rFonts w:hint="eastAsia" w:ascii="仿宋" w:hAnsi="仿宋" w:eastAsia="仿宋" w:cs="仿宋"/>
                <w:sz w:val="30"/>
                <w:szCs w:val="30"/>
                <w:lang w:bidi="ar"/>
              </w:rPr>
            </w:pPr>
          </w:p>
        </w:tc>
        <w:tc>
          <w:tcPr>
            <w:tcW w:w="889" w:type="dxa"/>
            <w:tcBorders>
              <w:top w:val="single" w:color="auto" w:sz="4" w:space="0"/>
              <w:left w:val="single" w:color="auto" w:sz="4" w:space="0"/>
              <w:bottom w:val="single" w:color="auto" w:sz="4" w:space="0"/>
              <w:right w:val="single" w:color="auto" w:sz="4" w:space="0"/>
            </w:tcBorders>
            <w:vAlign w:val="center"/>
          </w:tcPr>
          <w:p w14:paraId="77B9CA74">
            <w:pPr>
              <w:spacing w:beforeAutospacing="1" w:line="276" w:lineRule="auto"/>
              <w:jc w:val="center"/>
              <w:rPr>
                <w:rFonts w:hint="eastAsia" w:ascii="仿宋" w:hAnsi="仿宋" w:eastAsia="仿宋" w:cs="仿宋"/>
                <w:sz w:val="30"/>
                <w:szCs w:val="30"/>
              </w:rPr>
            </w:pPr>
            <w:r>
              <w:rPr>
                <w:rFonts w:hint="eastAsia" w:ascii="仿宋" w:hAnsi="仿宋" w:eastAsia="仿宋" w:cs="仿宋"/>
                <w:sz w:val="30"/>
                <w:szCs w:val="30"/>
                <w:lang w:bidi="ar"/>
              </w:rPr>
              <w:t>2.3</w:t>
            </w:r>
          </w:p>
        </w:tc>
        <w:tc>
          <w:tcPr>
            <w:tcW w:w="7381" w:type="dxa"/>
            <w:tcBorders>
              <w:top w:val="single" w:color="auto" w:sz="4" w:space="0"/>
              <w:left w:val="single" w:color="auto" w:sz="4" w:space="0"/>
              <w:bottom w:val="single" w:color="auto" w:sz="4" w:space="0"/>
              <w:right w:val="single" w:color="auto" w:sz="4" w:space="0"/>
            </w:tcBorders>
            <w:vAlign w:val="center"/>
          </w:tcPr>
          <w:p w14:paraId="2D98B9B4">
            <w:pPr>
              <w:spacing w:beforeAutospacing="1" w:line="276" w:lineRule="auto"/>
              <w:jc w:val="left"/>
              <w:rPr>
                <w:rFonts w:hint="eastAsia" w:ascii="仿宋" w:hAnsi="仿宋" w:eastAsia="仿宋" w:cs="仿宋"/>
                <w:sz w:val="30"/>
                <w:szCs w:val="30"/>
              </w:rPr>
            </w:pPr>
            <w:r>
              <w:rPr>
                <w:rFonts w:hint="eastAsia" w:ascii="仿宋" w:hAnsi="仿宋" w:eastAsia="仿宋" w:cs="仿宋"/>
                <w:sz w:val="30"/>
                <w:szCs w:val="30"/>
                <w:lang w:bidi="ar"/>
              </w:rPr>
              <w:t>样本采集规范：制定适配采购人各专业标本的标准化采集操作规程；明确采集前准备、操作流程、标本标识、信息核对、采样耗材标准、不合格标本判定及退回流程，具备现场指导及规范全院采样操作能力。</w:t>
            </w:r>
          </w:p>
        </w:tc>
      </w:tr>
      <w:tr w14:paraId="6DB4F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2" w:hRule="atLeast"/>
        </w:trPr>
        <w:tc>
          <w:tcPr>
            <w:tcW w:w="1286" w:type="dxa"/>
            <w:vMerge w:val="continue"/>
            <w:tcBorders>
              <w:left w:val="single" w:color="auto" w:sz="4" w:space="0"/>
              <w:right w:val="single" w:color="auto" w:sz="4" w:space="0"/>
            </w:tcBorders>
            <w:vAlign w:val="center"/>
          </w:tcPr>
          <w:p w14:paraId="7657D15C">
            <w:pPr>
              <w:spacing w:beforeAutospacing="1" w:line="276" w:lineRule="auto"/>
              <w:jc w:val="center"/>
              <w:rPr>
                <w:rFonts w:hint="eastAsia" w:ascii="仿宋" w:hAnsi="仿宋" w:eastAsia="仿宋" w:cs="仿宋"/>
                <w:sz w:val="30"/>
                <w:szCs w:val="30"/>
              </w:rPr>
            </w:pPr>
          </w:p>
        </w:tc>
        <w:tc>
          <w:tcPr>
            <w:tcW w:w="822" w:type="dxa"/>
            <w:tcBorders>
              <w:left w:val="single" w:color="auto" w:sz="4" w:space="0"/>
              <w:right w:val="single" w:color="auto" w:sz="4" w:space="0"/>
            </w:tcBorders>
          </w:tcPr>
          <w:p w14:paraId="7D60EA88">
            <w:pPr>
              <w:spacing w:beforeAutospacing="1" w:line="276" w:lineRule="auto"/>
              <w:jc w:val="center"/>
              <w:rPr>
                <w:rFonts w:hint="eastAsia" w:ascii="仿宋" w:hAnsi="仿宋" w:eastAsia="仿宋" w:cs="仿宋"/>
                <w:sz w:val="30"/>
                <w:szCs w:val="30"/>
                <w:lang w:bidi="ar"/>
              </w:rPr>
            </w:pPr>
          </w:p>
        </w:tc>
        <w:tc>
          <w:tcPr>
            <w:tcW w:w="889" w:type="dxa"/>
            <w:tcBorders>
              <w:top w:val="single" w:color="auto" w:sz="4" w:space="0"/>
              <w:left w:val="single" w:color="auto" w:sz="4" w:space="0"/>
              <w:bottom w:val="single" w:color="auto" w:sz="4" w:space="0"/>
              <w:right w:val="single" w:color="auto" w:sz="4" w:space="0"/>
            </w:tcBorders>
            <w:vAlign w:val="center"/>
          </w:tcPr>
          <w:p w14:paraId="2207BE6B">
            <w:pPr>
              <w:spacing w:beforeAutospacing="1" w:line="276" w:lineRule="auto"/>
              <w:jc w:val="center"/>
              <w:rPr>
                <w:rFonts w:hint="eastAsia" w:ascii="仿宋" w:hAnsi="仿宋" w:eastAsia="仿宋" w:cs="仿宋"/>
                <w:sz w:val="30"/>
                <w:szCs w:val="30"/>
              </w:rPr>
            </w:pPr>
            <w:r>
              <w:rPr>
                <w:rFonts w:hint="eastAsia" w:ascii="仿宋" w:hAnsi="仿宋" w:eastAsia="仿宋" w:cs="仿宋"/>
                <w:sz w:val="30"/>
                <w:szCs w:val="30"/>
                <w:lang w:bidi="ar"/>
              </w:rPr>
              <w:t>2.4</w:t>
            </w:r>
          </w:p>
        </w:tc>
        <w:tc>
          <w:tcPr>
            <w:tcW w:w="7381" w:type="dxa"/>
            <w:tcBorders>
              <w:top w:val="single" w:color="auto" w:sz="4" w:space="0"/>
              <w:left w:val="single" w:color="auto" w:sz="4" w:space="0"/>
              <w:bottom w:val="single" w:color="auto" w:sz="4" w:space="0"/>
              <w:right w:val="single" w:color="auto" w:sz="4" w:space="0"/>
            </w:tcBorders>
            <w:vAlign w:val="center"/>
          </w:tcPr>
          <w:p w14:paraId="1E20DC6D">
            <w:pPr>
              <w:spacing w:beforeAutospacing="1" w:line="276" w:lineRule="auto"/>
              <w:jc w:val="left"/>
              <w:rPr>
                <w:rFonts w:hint="eastAsia" w:ascii="仿宋" w:hAnsi="仿宋" w:eastAsia="仿宋" w:cs="仿宋"/>
                <w:sz w:val="30"/>
                <w:szCs w:val="30"/>
              </w:rPr>
            </w:pPr>
            <w:r>
              <w:rPr>
                <w:rFonts w:hint="eastAsia" w:ascii="仿宋" w:hAnsi="仿宋" w:eastAsia="仿宋" w:cs="仿宋"/>
                <w:sz w:val="30"/>
                <w:szCs w:val="30"/>
                <w:lang w:bidi="ar"/>
              </w:rPr>
              <w:t>标本保存：按不同标本类型分类制定保存温度、保存时限、临时存放条件、冷藏/低温设备配置、日常温度监测、记录留存等管理要求；明确超时标本、不合格标本、废弃标本规范处置流程，符合生物安全及院感管理要求。</w:t>
            </w:r>
          </w:p>
        </w:tc>
      </w:tr>
      <w:tr w14:paraId="5B309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trPr>
        <w:tc>
          <w:tcPr>
            <w:tcW w:w="1286" w:type="dxa"/>
            <w:vMerge w:val="continue"/>
            <w:tcBorders>
              <w:left w:val="single" w:color="auto" w:sz="4" w:space="0"/>
              <w:right w:val="single" w:color="auto" w:sz="4" w:space="0"/>
            </w:tcBorders>
            <w:vAlign w:val="center"/>
          </w:tcPr>
          <w:p w14:paraId="5227CBB4">
            <w:pPr>
              <w:spacing w:beforeAutospacing="1" w:line="276" w:lineRule="auto"/>
              <w:jc w:val="center"/>
              <w:rPr>
                <w:rFonts w:hint="eastAsia" w:ascii="仿宋" w:hAnsi="仿宋" w:eastAsia="仿宋" w:cs="仿宋"/>
                <w:sz w:val="30"/>
                <w:szCs w:val="30"/>
              </w:rPr>
            </w:pPr>
          </w:p>
        </w:tc>
        <w:tc>
          <w:tcPr>
            <w:tcW w:w="822" w:type="dxa"/>
            <w:tcBorders>
              <w:left w:val="single" w:color="auto" w:sz="4" w:space="0"/>
              <w:right w:val="single" w:color="auto" w:sz="4" w:space="0"/>
            </w:tcBorders>
          </w:tcPr>
          <w:p w14:paraId="7E648AC3">
            <w:pPr>
              <w:spacing w:beforeAutospacing="1" w:line="276" w:lineRule="auto"/>
              <w:jc w:val="center"/>
              <w:rPr>
                <w:rFonts w:hint="eastAsia" w:ascii="仿宋" w:hAnsi="仿宋" w:eastAsia="仿宋" w:cs="仿宋"/>
                <w:sz w:val="30"/>
                <w:szCs w:val="30"/>
                <w:lang w:bidi="ar"/>
              </w:rPr>
            </w:pPr>
          </w:p>
        </w:tc>
        <w:tc>
          <w:tcPr>
            <w:tcW w:w="889" w:type="dxa"/>
            <w:tcBorders>
              <w:top w:val="single" w:color="auto" w:sz="4" w:space="0"/>
              <w:left w:val="single" w:color="auto" w:sz="4" w:space="0"/>
              <w:bottom w:val="single" w:color="auto" w:sz="4" w:space="0"/>
              <w:right w:val="single" w:color="auto" w:sz="4" w:space="0"/>
            </w:tcBorders>
            <w:vAlign w:val="center"/>
          </w:tcPr>
          <w:p w14:paraId="5BBE95FA">
            <w:pPr>
              <w:spacing w:beforeAutospacing="1" w:line="276" w:lineRule="auto"/>
              <w:jc w:val="center"/>
              <w:rPr>
                <w:rFonts w:hint="eastAsia" w:ascii="仿宋" w:hAnsi="仿宋" w:eastAsia="仿宋" w:cs="仿宋"/>
                <w:sz w:val="30"/>
                <w:szCs w:val="30"/>
              </w:rPr>
            </w:pPr>
            <w:r>
              <w:rPr>
                <w:rFonts w:hint="eastAsia" w:ascii="仿宋" w:hAnsi="仿宋" w:eastAsia="仿宋" w:cs="仿宋"/>
                <w:sz w:val="30"/>
                <w:szCs w:val="30"/>
                <w:lang w:bidi="ar"/>
              </w:rPr>
              <w:t>2.5</w:t>
            </w:r>
          </w:p>
        </w:tc>
        <w:tc>
          <w:tcPr>
            <w:tcW w:w="7381" w:type="dxa"/>
            <w:tcBorders>
              <w:top w:val="single" w:color="auto" w:sz="4" w:space="0"/>
              <w:left w:val="single" w:color="auto" w:sz="4" w:space="0"/>
              <w:bottom w:val="single" w:color="auto" w:sz="4" w:space="0"/>
              <w:right w:val="single" w:color="auto" w:sz="4" w:space="0"/>
            </w:tcBorders>
            <w:vAlign w:val="center"/>
          </w:tcPr>
          <w:p w14:paraId="398C6CA4">
            <w:pPr>
              <w:spacing w:beforeAutospacing="1" w:line="276" w:lineRule="auto"/>
              <w:jc w:val="left"/>
              <w:rPr>
                <w:rFonts w:hint="eastAsia" w:ascii="仿宋" w:hAnsi="仿宋" w:eastAsia="仿宋" w:cs="仿宋"/>
                <w:sz w:val="30"/>
                <w:szCs w:val="30"/>
              </w:rPr>
            </w:pPr>
            <w:r>
              <w:rPr>
                <w:rFonts w:hint="eastAsia" w:ascii="仿宋" w:hAnsi="仿宋" w:eastAsia="仿宋" w:cs="仿宋"/>
                <w:sz w:val="30"/>
                <w:szCs w:val="30"/>
                <w:lang w:bidi="ar"/>
              </w:rPr>
              <w:t>检测工作流程规范：完整制定标本接收、信息核对、标本前处理、上机检测、室内质控、结果复核、报告签发全流程标准作业程序，岗位职责清晰、流程闭环、质量可控。</w:t>
            </w:r>
          </w:p>
        </w:tc>
      </w:tr>
      <w:tr w14:paraId="7EF6A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2" w:hRule="atLeast"/>
        </w:trPr>
        <w:tc>
          <w:tcPr>
            <w:tcW w:w="1286" w:type="dxa"/>
            <w:vMerge w:val="continue"/>
            <w:tcBorders>
              <w:left w:val="single" w:color="auto" w:sz="4" w:space="0"/>
              <w:right w:val="single" w:color="auto" w:sz="4" w:space="0"/>
            </w:tcBorders>
            <w:vAlign w:val="center"/>
          </w:tcPr>
          <w:p w14:paraId="72ACD8E3">
            <w:pPr>
              <w:spacing w:beforeAutospacing="1" w:line="276" w:lineRule="auto"/>
              <w:jc w:val="center"/>
              <w:rPr>
                <w:rFonts w:hint="eastAsia" w:ascii="仿宋" w:hAnsi="仿宋" w:eastAsia="仿宋" w:cs="仿宋"/>
                <w:sz w:val="30"/>
                <w:szCs w:val="30"/>
              </w:rPr>
            </w:pPr>
          </w:p>
        </w:tc>
        <w:tc>
          <w:tcPr>
            <w:tcW w:w="822" w:type="dxa"/>
            <w:tcBorders>
              <w:left w:val="single" w:color="auto" w:sz="4" w:space="0"/>
              <w:right w:val="single" w:color="auto" w:sz="4" w:space="0"/>
            </w:tcBorders>
          </w:tcPr>
          <w:p w14:paraId="2BA79B91">
            <w:pPr>
              <w:spacing w:beforeAutospacing="1" w:line="276" w:lineRule="auto"/>
              <w:jc w:val="center"/>
              <w:rPr>
                <w:rFonts w:hint="eastAsia" w:ascii="仿宋" w:hAnsi="仿宋" w:eastAsia="仿宋" w:cs="仿宋"/>
                <w:sz w:val="30"/>
                <w:szCs w:val="30"/>
                <w:lang w:bidi="ar"/>
              </w:rPr>
            </w:pPr>
          </w:p>
        </w:tc>
        <w:tc>
          <w:tcPr>
            <w:tcW w:w="889" w:type="dxa"/>
            <w:tcBorders>
              <w:top w:val="single" w:color="auto" w:sz="4" w:space="0"/>
              <w:left w:val="single" w:color="auto" w:sz="4" w:space="0"/>
              <w:bottom w:val="single" w:color="auto" w:sz="4" w:space="0"/>
              <w:right w:val="single" w:color="auto" w:sz="4" w:space="0"/>
            </w:tcBorders>
            <w:vAlign w:val="center"/>
          </w:tcPr>
          <w:p w14:paraId="6C097E50">
            <w:pPr>
              <w:spacing w:beforeAutospacing="1" w:line="276" w:lineRule="auto"/>
              <w:jc w:val="center"/>
              <w:rPr>
                <w:rFonts w:hint="eastAsia" w:ascii="仿宋" w:hAnsi="仿宋" w:eastAsia="仿宋" w:cs="仿宋"/>
                <w:sz w:val="30"/>
                <w:szCs w:val="30"/>
              </w:rPr>
            </w:pPr>
            <w:r>
              <w:rPr>
                <w:rFonts w:hint="eastAsia" w:ascii="仿宋" w:hAnsi="仿宋" w:eastAsia="仿宋" w:cs="仿宋"/>
                <w:sz w:val="30"/>
                <w:szCs w:val="30"/>
                <w:lang w:bidi="ar"/>
              </w:rPr>
              <w:t>2.6</w:t>
            </w:r>
          </w:p>
        </w:tc>
        <w:tc>
          <w:tcPr>
            <w:tcW w:w="7381" w:type="dxa"/>
            <w:tcBorders>
              <w:top w:val="single" w:color="auto" w:sz="4" w:space="0"/>
              <w:left w:val="single" w:color="auto" w:sz="4" w:space="0"/>
              <w:bottom w:val="single" w:color="auto" w:sz="4" w:space="0"/>
              <w:right w:val="single" w:color="auto" w:sz="4" w:space="0"/>
            </w:tcBorders>
            <w:vAlign w:val="center"/>
          </w:tcPr>
          <w:p w14:paraId="433FBB06">
            <w:pPr>
              <w:spacing w:beforeAutospacing="1" w:line="276" w:lineRule="auto"/>
              <w:jc w:val="left"/>
              <w:rPr>
                <w:rFonts w:hint="eastAsia" w:ascii="仿宋" w:hAnsi="仿宋" w:eastAsia="仿宋" w:cs="仿宋"/>
                <w:sz w:val="30"/>
                <w:szCs w:val="30"/>
              </w:rPr>
            </w:pPr>
            <w:r>
              <w:rPr>
                <w:rFonts w:hint="eastAsia" w:ascii="仿宋" w:hAnsi="仿宋" w:eastAsia="仿宋" w:cs="仿宋"/>
                <w:sz w:val="30"/>
                <w:szCs w:val="30"/>
                <w:lang w:bidi="ar"/>
              </w:rPr>
              <w:t>发送检测结果报告方法：须提供多渠道报告送达方式：支持 LIS 系统无缝对接、PDF报告推送、官方线上查询平台、纸质报告专人送达等；保障报告传输安全、及时、防篡改、可追溯。</w:t>
            </w:r>
          </w:p>
        </w:tc>
      </w:tr>
      <w:tr w14:paraId="59B1C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2" w:hRule="atLeast"/>
        </w:trPr>
        <w:tc>
          <w:tcPr>
            <w:tcW w:w="1286" w:type="dxa"/>
            <w:vMerge w:val="continue"/>
            <w:tcBorders>
              <w:left w:val="single" w:color="auto" w:sz="4" w:space="0"/>
              <w:bottom w:val="single" w:color="auto" w:sz="4" w:space="0"/>
              <w:right w:val="single" w:color="auto" w:sz="4" w:space="0"/>
            </w:tcBorders>
            <w:vAlign w:val="center"/>
          </w:tcPr>
          <w:p w14:paraId="578B7129">
            <w:pPr>
              <w:spacing w:beforeAutospacing="1" w:line="276" w:lineRule="auto"/>
              <w:jc w:val="center"/>
              <w:rPr>
                <w:rFonts w:hint="eastAsia" w:ascii="仿宋" w:hAnsi="仿宋" w:eastAsia="仿宋" w:cs="仿宋"/>
                <w:sz w:val="30"/>
                <w:szCs w:val="30"/>
              </w:rPr>
            </w:pPr>
          </w:p>
        </w:tc>
        <w:tc>
          <w:tcPr>
            <w:tcW w:w="822" w:type="dxa"/>
            <w:tcBorders>
              <w:left w:val="single" w:color="auto" w:sz="4" w:space="0"/>
              <w:bottom w:val="single" w:color="auto" w:sz="4" w:space="0"/>
              <w:right w:val="single" w:color="auto" w:sz="4" w:space="0"/>
            </w:tcBorders>
          </w:tcPr>
          <w:p w14:paraId="41BB901C">
            <w:pPr>
              <w:spacing w:beforeAutospacing="1" w:line="276" w:lineRule="auto"/>
              <w:jc w:val="center"/>
              <w:rPr>
                <w:rFonts w:hint="eastAsia" w:ascii="仿宋" w:hAnsi="仿宋" w:eastAsia="仿宋" w:cs="仿宋"/>
                <w:sz w:val="30"/>
                <w:szCs w:val="30"/>
                <w:lang w:bidi="ar"/>
              </w:rPr>
            </w:pPr>
          </w:p>
        </w:tc>
        <w:tc>
          <w:tcPr>
            <w:tcW w:w="889" w:type="dxa"/>
            <w:tcBorders>
              <w:top w:val="single" w:color="auto" w:sz="4" w:space="0"/>
              <w:left w:val="single" w:color="auto" w:sz="4" w:space="0"/>
              <w:bottom w:val="single" w:color="auto" w:sz="4" w:space="0"/>
              <w:right w:val="single" w:color="auto" w:sz="4" w:space="0"/>
            </w:tcBorders>
            <w:vAlign w:val="center"/>
          </w:tcPr>
          <w:p w14:paraId="1B811F84">
            <w:pPr>
              <w:spacing w:beforeAutospacing="1" w:line="276" w:lineRule="auto"/>
              <w:jc w:val="center"/>
              <w:rPr>
                <w:rFonts w:hint="eastAsia" w:ascii="仿宋" w:hAnsi="仿宋" w:eastAsia="仿宋" w:cs="仿宋"/>
                <w:sz w:val="30"/>
                <w:szCs w:val="30"/>
              </w:rPr>
            </w:pPr>
            <w:r>
              <w:rPr>
                <w:rFonts w:hint="eastAsia" w:ascii="仿宋" w:hAnsi="仿宋" w:eastAsia="仿宋" w:cs="仿宋"/>
                <w:sz w:val="30"/>
                <w:szCs w:val="30"/>
                <w:lang w:bidi="ar"/>
              </w:rPr>
              <w:t>2.7</w:t>
            </w:r>
          </w:p>
        </w:tc>
        <w:tc>
          <w:tcPr>
            <w:tcW w:w="7381" w:type="dxa"/>
            <w:tcBorders>
              <w:top w:val="single" w:color="auto" w:sz="4" w:space="0"/>
              <w:left w:val="single" w:color="auto" w:sz="4" w:space="0"/>
              <w:bottom w:val="single" w:color="auto" w:sz="4" w:space="0"/>
              <w:right w:val="single" w:color="auto" w:sz="4" w:space="0"/>
            </w:tcBorders>
            <w:vAlign w:val="center"/>
          </w:tcPr>
          <w:p w14:paraId="43A2DAD4">
            <w:pPr>
              <w:spacing w:beforeAutospacing="1" w:line="276" w:lineRule="auto"/>
              <w:jc w:val="left"/>
              <w:rPr>
                <w:rFonts w:hint="eastAsia" w:ascii="仿宋" w:hAnsi="仿宋" w:eastAsia="仿宋" w:cs="仿宋"/>
                <w:sz w:val="30"/>
                <w:szCs w:val="30"/>
              </w:rPr>
            </w:pPr>
            <w:r>
              <w:rPr>
                <w:rFonts w:hint="eastAsia" w:ascii="仿宋" w:hAnsi="仿宋" w:eastAsia="仿宋" w:cs="仿宋"/>
                <w:sz w:val="30"/>
                <w:szCs w:val="30"/>
                <w:lang w:bidi="ar"/>
              </w:rPr>
              <w:t>报告出具时间控制：分别制定常规标本、急诊/特急标本报告出具时限承诺；建立检测进度跟踪、超时预警、延时主动告知、加急绿色通道管控机制，满足临床诊疗时效需求。</w:t>
            </w:r>
          </w:p>
        </w:tc>
      </w:tr>
      <w:tr w14:paraId="0B081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2" w:hRule="atLeast"/>
        </w:trPr>
        <w:tc>
          <w:tcPr>
            <w:tcW w:w="1286" w:type="dxa"/>
            <w:vMerge w:val="restart"/>
            <w:tcBorders>
              <w:top w:val="single" w:color="auto" w:sz="4" w:space="0"/>
              <w:left w:val="single" w:color="auto" w:sz="4" w:space="0"/>
              <w:right w:val="single" w:color="auto" w:sz="4" w:space="0"/>
            </w:tcBorders>
            <w:vAlign w:val="center"/>
          </w:tcPr>
          <w:p w14:paraId="13840BCE">
            <w:pPr>
              <w:spacing w:beforeAutospacing="1" w:line="276" w:lineRule="auto"/>
              <w:jc w:val="left"/>
              <w:rPr>
                <w:rFonts w:hint="eastAsia" w:ascii="仿宋" w:hAnsi="仿宋" w:eastAsia="仿宋" w:cs="仿宋"/>
                <w:sz w:val="30"/>
                <w:szCs w:val="30"/>
              </w:rPr>
            </w:pPr>
            <w:r>
              <w:rPr>
                <w:rFonts w:hint="eastAsia" w:ascii="仿宋" w:hAnsi="仿宋" w:eastAsia="仿宋" w:cs="仿宋"/>
                <w:sz w:val="30"/>
                <w:szCs w:val="30"/>
                <w:lang w:eastAsia="zh" w:bidi="ar"/>
              </w:rPr>
              <w:t>3.</w:t>
            </w:r>
            <w:r>
              <w:rPr>
                <w:rFonts w:hint="eastAsia" w:ascii="仿宋" w:hAnsi="仿宋" w:eastAsia="仿宋" w:cs="仿宋"/>
                <w:sz w:val="30"/>
                <w:szCs w:val="30"/>
                <w:lang w:bidi="ar"/>
              </w:rPr>
              <w:t>服务质量保障方案要求</w:t>
            </w:r>
          </w:p>
        </w:tc>
        <w:tc>
          <w:tcPr>
            <w:tcW w:w="822" w:type="dxa"/>
            <w:tcBorders>
              <w:top w:val="single" w:color="auto" w:sz="4" w:space="0"/>
              <w:left w:val="single" w:color="auto" w:sz="4" w:space="0"/>
              <w:right w:val="single" w:color="auto" w:sz="4" w:space="0"/>
            </w:tcBorders>
          </w:tcPr>
          <w:p w14:paraId="7B110DFC">
            <w:pPr>
              <w:spacing w:beforeAutospacing="1" w:line="276" w:lineRule="auto"/>
              <w:jc w:val="center"/>
              <w:rPr>
                <w:rFonts w:hint="eastAsia" w:ascii="仿宋" w:hAnsi="仿宋" w:eastAsia="仿宋" w:cs="仿宋"/>
                <w:sz w:val="30"/>
                <w:szCs w:val="30"/>
                <w:lang w:bidi="ar"/>
              </w:rPr>
            </w:pPr>
          </w:p>
        </w:tc>
        <w:tc>
          <w:tcPr>
            <w:tcW w:w="889" w:type="dxa"/>
            <w:tcBorders>
              <w:top w:val="single" w:color="auto" w:sz="4" w:space="0"/>
              <w:left w:val="single" w:color="auto" w:sz="4" w:space="0"/>
              <w:bottom w:val="single" w:color="auto" w:sz="4" w:space="0"/>
              <w:right w:val="single" w:color="auto" w:sz="4" w:space="0"/>
            </w:tcBorders>
            <w:vAlign w:val="center"/>
          </w:tcPr>
          <w:p w14:paraId="4BC5A099">
            <w:pPr>
              <w:spacing w:beforeAutospacing="1" w:line="276" w:lineRule="auto"/>
              <w:jc w:val="center"/>
              <w:rPr>
                <w:rFonts w:hint="eastAsia" w:ascii="仿宋" w:hAnsi="仿宋" w:eastAsia="仿宋" w:cs="仿宋"/>
                <w:sz w:val="30"/>
                <w:szCs w:val="30"/>
              </w:rPr>
            </w:pPr>
            <w:r>
              <w:rPr>
                <w:rFonts w:hint="eastAsia" w:ascii="仿宋" w:hAnsi="仿宋" w:eastAsia="仿宋" w:cs="仿宋"/>
                <w:sz w:val="30"/>
                <w:szCs w:val="30"/>
                <w:lang w:bidi="ar"/>
              </w:rPr>
              <w:t>3.1</w:t>
            </w:r>
          </w:p>
        </w:tc>
        <w:tc>
          <w:tcPr>
            <w:tcW w:w="7381" w:type="dxa"/>
            <w:tcBorders>
              <w:top w:val="single" w:color="auto" w:sz="4" w:space="0"/>
              <w:left w:val="single" w:color="auto" w:sz="4" w:space="0"/>
              <w:bottom w:val="single" w:color="auto" w:sz="4" w:space="0"/>
              <w:right w:val="single" w:color="auto" w:sz="4" w:space="0"/>
            </w:tcBorders>
            <w:vAlign w:val="center"/>
          </w:tcPr>
          <w:p w14:paraId="77AEE159">
            <w:pPr>
              <w:spacing w:beforeAutospacing="1" w:line="276" w:lineRule="auto"/>
              <w:jc w:val="left"/>
              <w:rPr>
                <w:rFonts w:hint="eastAsia" w:ascii="仿宋" w:hAnsi="仿宋" w:eastAsia="仿宋" w:cs="仿宋"/>
                <w:sz w:val="30"/>
                <w:szCs w:val="30"/>
              </w:rPr>
            </w:pPr>
            <w:r>
              <w:rPr>
                <w:rFonts w:hint="eastAsia" w:ascii="仿宋" w:hAnsi="仿宋" w:eastAsia="仿宋" w:cs="仿宋"/>
                <w:sz w:val="30"/>
                <w:szCs w:val="30"/>
                <w:lang w:bidi="ar"/>
              </w:rPr>
              <w:t>检测方法方面质量控制：建立常态化室内质控管理制度，严格执行质控规则；按期参加省/自治区、市级临床检验中心室间质评，确保参评项目全部合格，留存完整质控、室间质评记录及整改资料，无室间质评的项目采用替代方案，并保留原始资料。</w:t>
            </w:r>
          </w:p>
        </w:tc>
      </w:tr>
      <w:tr w14:paraId="6E94A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trPr>
        <w:tc>
          <w:tcPr>
            <w:tcW w:w="1286" w:type="dxa"/>
            <w:vMerge w:val="continue"/>
            <w:tcBorders>
              <w:left w:val="single" w:color="auto" w:sz="4" w:space="0"/>
              <w:right w:val="single" w:color="auto" w:sz="4" w:space="0"/>
            </w:tcBorders>
            <w:vAlign w:val="center"/>
          </w:tcPr>
          <w:p w14:paraId="504F7B9A">
            <w:pPr>
              <w:spacing w:beforeAutospacing="1" w:line="276" w:lineRule="auto"/>
              <w:jc w:val="center"/>
              <w:rPr>
                <w:rFonts w:hint="eastAsia" w:ascii="仿宋" w:hAnsi="仿宋" w:eastAsia="仿宋" w:cs="仿宋"/>
                <w:sz w:val="30"/>
                <w:szCs w:val="30"/>
              </w:rPr>
            </w:pPr>
          </w:p>
        </w:tc>
        <w:tc>
          <w:tcPr>
            <w:tcW w:w="822" w:type="dxa"/>
            <w:tcBorders>
              <w:left w:val="single" w:color="auto" w:sz="4" w:space="0"/>
              <w:right w:val="single" w:color="auto" w:sz="4" w:space="0"/>
            </w:tcBorders>
          </w:tcPr>
          <w:p w14:paraId="710F91E8">
            <w:pPr>
              <w:spacing w:beforeAutospacing="1" w:line="276" w:lineRule="auto"/>
              <w:jc w:val="center"/>
              <w:rPr>
                <w:rFonts w:hint="eastAsia" w:ascii="仿宋" w:hAnsi="仿宋" w:eastAsia="仿宋" w:cs="仿宋"/>
                <w:sz w:val="30"/>
                <w:szCs w:val="30"/>
                <w:lang w:bidi="ar"/>
              </w:rPr>
            </w:pPr>
          </w:p>
        </w:tc>
        <w:tc>
          <w:tcPr>
            <w:tcW w:w="889" w:type="dxa"/>
            <w:tcBorders>
              <w:top w:val="single" w:color="auto" w:sz="4" w:space="0"/>
              <w:left w:val="single" w:color="auto" w:sz="4" w:space="0"/>
              <w:bottom w:val="single" w:color="auto" w:sz="4" w:space="0"/>
              <w:right w:val="single" w:color="auto" w:sz="4" w:space="0"/>
            </w:tcBorders>
            <w:vAlign w:val="center"/>
          </w:tcPr>
          <w:p w14:paraId="1445A029">
            <w:pPr>
              <w:spacing w:beforeAutospacing="1" w:line="276" w:lineRule="auto"/>
              <w:jc w:val="center"/>
              <w:rPr>
                <w:rFonts w:hint="eastAsia" w:ascii="仿宋" w:hAnsi="仿宋" w:eastAsia="仿宋" w:cs="仿宋"/>
                <w:sz w:val="30"/>
                <w:szCs w:val="30"/>
              </w:rPr>
            </w:pPr>
            <w:r>
              <w:rPr>
                <w:rFonts w:hint="eastAsia" w:ascii="仿宋" w:hAnsi="仿宋" w:eastAsia="仿宋" w:cs="仿宋"/>
                <w:sz w:val="30"/>
                <w:szCs w:val="30"/>
                <w:lang w:bidi="ar"/>
              </w:rPr>
              <w:t>3.2</w:t>
            </w:r>
          </w:p>
        </w:tc>
        <w:tc>
          <w:tcPr>
            <w:tcW w:w="7381" w:type="dxa"/>
            <w:tcBorders>
              <w:top w:val="single" w:color="auto" w:sz="4" w:space="0"/>
              <w:left w:val="single" w:color="auto" w:sz="4" w:space="0"/>
              <w:bottom w:val="single" w:color="auto" w:sz="4" w:space="0"/>
              <w:right w:val="single" w:color="auto" w:sz="4" w:space="0"/>
            </w:tcBorders>
            <w:vAlign w:val="center"/>
          </w:tcPr>
          <w:p w14:paraId="4E1DF6DF">
            <w:pPr>
              <w:spacing w:beforeAutospacing="1" w:line="276" w:lineRule="auto"/>
              <w:jc w:val="left"/>
              <w:rPr>
                <w:rFonts w:hint="eastAsia" w:ascii="仿宋" w:hAnsi="仿宋" w:eastAsia="仿宋" w:cs="仿宋"/>
                <w:sz w:val="30"/>
                <w:szCs w:val="30"/>
              </w:rPr>
            </w:pPr>
            <w:r>
              <w:rPr>
                <w:rFonts w:hint="eastAsia" w:ascii="仿宋" w:hAnsi="仿宋" w:eastAsia="仿宋" w:cs="仿宋"/>
                <w:sz w:val="30"/>
                <w:szCs w:val="30"/>
                <w:lang w:bidi="ar"/>
              </w:rPr>
              <w:t>样本方面质量控制：建立标本入库准入审核机制，对溶血、凝血、标本量不足、标识不清、污染、超时送达等不合格标本实行拒收、登记、反馈、退回闭环管理。</w:t>
            </w:r>
          </w:p>
        </w:tc>
      </w:tr>
      <w:tr w14:paraId="675BD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trPr>
        <w:tc>
          <w:tcPr>
            <w:tcW w:w="1286" w:type="dxa"/>
            <w:vMerge w:val="continue"/>
            <w:tcBorders>
              <w:left w:val="single" w:color="auto" w:sz="4" w:space="0"/>
              <w:right w:val="single" w:color="auto" w:sz="4" w:space="0"/>
            </w:tcBorders>
            <w:vAlign w:val="center"/>
          </w:tcPr>
          <w:p w14:paraId="581B6CA6">
            <w:pPr>
              <w:spacing w:beforeAutospacing="1" w:line="276" w:lineRule="auto"/>
              <w:jc w:val="center"/>
              <w:rPr>
                <w:rFonts w:hint="eastAsia" w:ascii="仿宋" w:hAnsi="仿宋" w:eastAsia="仿宋" w:cs="仿宋"/>
                <w:sz w:val="30"/>
                <w:szCs w:val="30"/>
              </w:rPr>
            </w:pPr>
          </w:p>
        </w:tc>
        <w:tc>
          <w:tcPr>
            <w:tcW w:w="822" w:type="dxa"/>
            <w:tcBorders>
              <w:left w:val="single" w:color="auto" w:sz="4" w:space="0"/>
              <w:right w:val="single" w:color="auto" w:sz="4" w:space="0"/>
            </w:tcBorders>
          </w:tcPr>
          <w:p w14:paraId="0250B0F9">
            <w:pPr>
              <w:spacing w:beforeAutospacing="1" w:line="276" w:lineRule="auto"/>
              <w:jc w:val="center"/>
              <w:rPr>
                <w:rFonts w:hint="eastAsia" w:ascii="仿宋" w:hAnsi="仿宋" w:eastAsia="仿宋" w:cs="仿宋"/>
                <w:sz w:val="30"/>
                <w:szCs w:val="30"/>
                <w:lang w:bidi="ar"/>
              </w:rPr>
            </w:pPr>
          </w:p>
        </w:tc>
        <w:tc>
          <w:tcPr>
            <w:tcW w:w="889" w:type="dxa"/>
            <w:tcBorders>
              <w:top w:val="single" w:color="auto" w:sz="4" w:space="0"/>
              <w:left w:val="single" w:color="auto" w:sz="4" w:space="0"/>
              <w:bottom w:val="single" w:color="auto" w:sz="4" w:space="0"/>
              <w:right w:val="single" w:color="auto" w:sz="4" w:space="0"/>
            </w:tcBorders>
            <w:vAlign w:val="center"/>
          </w:tcPr>
          <w:p w14:paraId="2F24097A">
            <w:pPr>
              <w:spacing w:beforeAutospacing="1" w:line="276" w:lineRule="auto"/>
              <w:jc w:val="center"/>
              <w:rPr>
                <w:rFonts w:hint="eastAsia" w:ascii="仿宋" w:hAnsi="仿宋" w:eastAsia="仿宋" w:cs="仿宋"/>
                <w:sz w:val="30"/>
                <w:szCs w:val="30"/>
              </w:rPr>
            </w:pPr>
            <w:r>
              <w:rPr>
                <w:rFonts w:hint="eastAsia" w:ascii="仿宋" w:hAnsi="仿宋" w:eastAsia="仿宋" w:cs="仿宋"/>
                <w:sz w:val="30"/>
                <w:szCs w:val="30"/>
                <w:lang w:bidi="ar"/>
              </w:rPr>
              <w:t>3.3</w:t>
            </w:r>
          </w:p>
        </w:tc>
        <w:tc>
          <w:tcPr>
            <w:tcW w:w="7381" w:type="dxa"/>
            <w:tcBorders>
              <w:top w:val="single" w:color="auto" w:sz="4" w:space="0"/>
              <w:left w:val="single" w:color="auto" w:sz="4" w:space="0"/>
              <w:bottom w:val="single" w:color="auto" w:sz="4" w:space="0"/>
              <w:right w:val="single" w:color="auto" w:sz="4" w:space="0"/>
            </w:tcBorders>
            <w:vAlign w:val="center"/>
          </w:tcPr>
          <w:p w14:paraId="148C59C0">
            <w:pPr>
              <w:spacing w:beforeAutospacing="1" w:line="276" w:lineRule="auto"/>
              <w:jc w:val="left"/>
              <w:rPr>
                <w:rFonts w:hint="eastAsia" w:ascii="仿宋" w:hAnsi="仿宋" w:eastAsia="仿宋" w:cs="仿宋"/>
                <w:sz w:val="30"/>
                <w:szCs w:val="30"/>
              </w:rPr>
            </w:pPr>
            <w:r>
              <w:rPr>
                <w:rFonts w:hint="eastAsia" w:ascii="仿宋" w:hAnsi="仿宋" w:eastAsia="仿宋" w:cs="仿宋"/>
                <w:sz w:val="30"/>
                <w:szCs w:val="30"/>
                <w:lang w:bidi="ar"/>
              </w:rPr>
              <w:t>技术人员方面质量控制：建立人员岗前培训、定期技能考核、继续教育及持证上岗制度；关键岗位人员保持稳定，人员变动提前报备采购人。</w:t>
            </w:r>
          </w:p>
        </w:tc>
      </w:tr>
      <w:tr w14:paraId="6676C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trPr>
        <w:tc>
          <w:tcPr>
            <w:tcW w:w="1286" w:type="dxa"/>
            <w:vMerge w:val="continue"/>
            <w:tcBorders>
              <w:left w:val="single" w:color="auto" w:sz="4" w:space="0"/>
              <w:right w:val="single" w:color="auto" w:sz="4" w:space="0"/>
            </w:tcBorders>
            <w:vAlign w:val="center"/>
          </w:tcPr>
          <w:p w14:paraId="4995C6A3">
            <w:pPr>
              <w:spacing w:beforeAutospacing="1" w:line="276" w:lineRule="auto"/>
              <w:jc w:val="center"/>
              <w:rPr>
                <w:rFonts w:hint="eastAsia" w:ascii="仿宋" w:hAnsi="仿宋" w:eastAsia="仿宋" w:cs="仿宋"/>
                <w:sz w:val="30"/>
                <w:szCs w:val="30"/>
              </w:rPr>
            </w:pPr>
          </w:p>
        </w:tc>
        <w:tc>
          <w:tcPr>
            <w:tcW w:w="822" w:type="dxa"/>
            <w:tcBorders>
              <w:left w:val="single" w:color="auto" w:sz="4" w:space="0"/>
              <w:right w:val="single" w:color="auto" w:sz="4" w:space="0"/>
            </w:tcBorders>
          </w:tcPr>
          <w:p w14:paraId="195A890E">
            <w:pPr>
              <w:spacing w:beforeAutospacing="1" w:line="276" w:lineRule="auto"/>
              <w:jc w:val="center"/>
              <w:rPr>
                <w:rFonts w:hint="eastAsia" w:ascii="仿宋" w:hAnsi="仿宋" w:eastAsia="仿宋" w:cs="仿宋"/>
                <w:sz w:val="30"/>
                <w:szCs w:val="30"/>
                <w:lang w:bidi="ar"/>
              </w:rPr>
            </w:pPr>
          </w:p>
        </w:tc>
        <w:tc>
          <w:tcPr>
            <w:tcW w:w="889" w:type="dxa"/>
            <w:tcBorders>
              <w:top w:val="single" w:color="auto" w:sz="4" w:space="0"/>
              <w:left w:val="single" w:color="auto" w:sz="4" w:space="0"/>
              <w:bottom w:val="single" w:color="auto" w:sz="4" w:space="0"/>
              <w:right w:val="single" w:color="auto" w:sz="4" w:space="0"/>
            </w:tcBorders>
            <w:vAlign w:val="center"/>
          </w:tcPr>
          <w:p w14:paraId="11F2331C">
            <w:pPr>
              <w:spacing w:beforeAutospacing="1" w:line="276" w:lineRule="auto"/>
              <w:jc w:val="center"/>
              <w:rPr>
                <w:rFonts w:hint="eastAsia" w:ascii="仿宋" w:hAnsi="仿宋" w:eastAsia="仿宋" w:cs="仿宋"/>
                <w:sz w:val="30"/>
                <w:szCs w:val="30"/>
              </w:rPr>
            </w:pPr>
            <w:r>
              <w:rPr>
                <w:rFonts w:hint="eastAsia" w:ascii="仿宋" w:hAnsi="仿宋" w:eastAsia="仿宋" w:cs="仿宋"/>
                <w:sz w:val="30"/>
                <w:szCs w:val="30"/>
                <w:lang w:bidi="ar"/>
              </w:rPr>
              <w:t>3.4</w:t>
            </w:r>
          </w:p>
        </w:tc>
        <w:tc>
          <w:tcPr>
            <w:tcW w:w="7381" w:type="dxa"/>
            <w:tcBorders>
              <w:top w:val="single" w:color="auto" w:sz="4" w:space="0"/>
              <w:left w:val="single" w:color="auto" w:sz="4" w:space="0"/>
              <w:bottom w:val="single" w:color="auto" w:sz="4" w:space="0"/>
              <w:right w:val="single" w:color="auto" w:sz="4" w:space="0"/>
            </w:tcBorders>
            <w:vAlign w:val="center"/>
          </w:tcPr>
          <w:p w14:paraId="139F6F20">
            <w:pPr>
              <w:spacing w:beforeAutospacing="1" w:line="276" w:lineRule="auto"/>
              <w:jc w:val="left"/>
              <w:rPr>
                <w:rFonts w:hint="eastAsia" w:ascii="仿宋" w:hAnsi="仿宋" w:eastAsia="仿宋" w:cs="仿宋"/>
                <w:sz w:val="30"/>
                <w:szCs w:val="30"/>
                <w:lang w:eastAsia="zh"/>
              </w:rPr>
            </w:pPr>
            <w:r>
              <w:rPr>
                <w:rFonts w:hint="eastAsia" w:ascii="仿宋" w:hAnsi="仿宋" w:eastAsia="仿宋" w:cs="仿宋"/>
                <w:sz w:val="30"/>
                <w:szCs w:val="30"/>
                <w:lang w:eastAsia="zh" w:bidi="ar"/>
              </w:rPr>
              <w:t>检测设备质量控制：投标人所有检测仪器、冷链设备须持有合规有效资质文件；针对关键仪器及配套试剂建立台账管理、日常维保、定期校准检定、故障报修等全流程管理制度，并完整留存相关管理档案。投标时须一并提交仪器设备注册证、关键试剂注册证，若采用实验室自建检测方法，还需补充对应的方法学验证资料。</w:t>
            </w:r>
          </w:p>
        </w:tc>
      </w:tr>
      <w:tr w14:paraId="6FC2F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2" w:hRule="atLeast"/>
        </w:trPr>
        <w:tc>
          <w:tcPr>
            <w:tcW w:w="1286" w:type="dxa"/>
            <w:vMerge w:val="continue"/>
            <w:tcBorders>
              <w:left w:val="single" w:color="auto" w:sz="4" w:space="0"/>
              <w:bottom w:val="single" w:color="auto" w:sz="4" w:space="0"/>
              <w:right w:val="single" w:color="auto" w:sz="4" w:space="0"/>
            </w:tcBorders>
            <w:vAlign w:val="center"/>
          </w:tcPr>
          <w:p w14:paraId="76250F99">
            <w:pPr>
              <w:spacing w:beforeAutospacing="1" w:line="276" w:lineRule="auto"/>
              <w:jc w:val="center"/>
              <w:rPr>
                <w:rFonts w:hint="eastAsia" w:ascii="仿宋" w:hAnsi="仿宋" w:eastAsia="仿宋" w:cs="仿宋"/>
                <w:sz w:val="30"/>
                <w:szCs w:val="30"/>
              </w:rPr>
            </w:pPr>
          </w:p>
        </w:tc>
        <w:tc>
          <w:tcPr>
            <w:tcW w:w="822" w:type="dxa"/>
            <w:tcBorders>
              <w:left w:val="single" w:color="auto" w:sz="4" w:space="0"/>
              <w:bottom w:val="single" w:color="auto" w:sz="4" w:space="0"/>
              <w:right w:val="single" w:color="auto" w:sz="4" w:space="0"/>
            </w:tcBorders>
          </w:tcPr>
          <w:p w14:paraId="1C9F9DF7">
            <w:pPr>
              <w:spacing w:beforeAutospacing="1" w:line="276" w:lineRule="auto"/>
              <w:jc w:val="center"/>
              <w:rPr>
                <w:rFonts w:hint="eastAsia" w:ascii="仿宋" w:hAnsi="仿宋" w:eastAsia="仿宋" w:cs="仿宋"/>
                <w:sz w:val="30"/>
                <w:szCs w:val="30"/>
                <w:lang w:bidi="ar"/>
              </w:rPr>
            </w:pPr>
          </w:p>
        </w:tc>
        <w:tc>
          <w:tcPr>
            <w:tcW w:w="889" w:type="dxa"/>
            <w:tcBorders>
              <w:top w:val="single" w:color="auto" w:sz="4" w:space="0"/>
              <w:left w:val="single" w:color="auto" w:sz="4" w:space="0"/>
              <w:bottom w:val="single" w:color="auto" w:sz="4" w:space="0"/>
              <w:right w:val="single" w:color="auto" w:sz="4" w:space="0"/>
            </w:tcBorders>
            <w:vAlign w:val="center"/>
          </w:tcPr>
          <w:p w14:paraId="06D4618A">
            <w:pPr>
              <w:spacing w:beforeAutospacing="1" w:line="276" w:lineRule="auto"/>
              <w:jc w:val="center"/>
              <w:rPr>
                <w:rFonts w:hint="eastAsia" w:ascii="仿宋" w:hAnsi="仿宋" w:eastAsia="仿宋" w:cs="仿宋"/>
                <w:sz w:val="30"/>
                <w:szCs w:val="30"/>
              </w:rPr>
            </w:pPr>
            <w:r>
              <w:rPr>
                <w:rFonts w:hint="eastAsia" w:ascii="仿宋" w:hAnsi="仿宋" w:eastAsia="仿宋" w:cs="仿宋"/>
                <w:sz w:val="30"/>
                <w:szCs w:val="30"/>
                <w:lang w:bidi="ar"/>
              </w:rPr>
              <w:t>3.5</w:t>
            </w:r>
          </w:p>
        </w:tc>
        <w:tc>
          <w:tcPr>
            <w:tcW w:w="7381" w:type="dxa"/>
            <w:tcBorders>
              <w:top w:val="single" w:color="auto" w:sz="4" w:space="0"/>
              <w:left w:val="single" w:color="auto" w:sz="4" w:space="0"/>
              <w:bottom w:val="single" w:color="auto" w:sz="4" w:space="0"/>
              <w:right w:val="single" w:color="auto" w:sz="4" w:space="0"/>
            </w:tcBorders>
            <w:vAlign w:val="center"/>
          </w:tcPr>
          <w:p w14:paraId="1CAE8F7A">
            <w:pPr>
              <w:spacing w:beforeAutospacing="1" w:line="276" w:lineRule="auto"/>
              <w:jc w:val="left"/>
              <w:rPr>
                <w:rFonts w:hint="eastAsia" w:ascii="仿宋" w:hAnsi="仿宋" w:eastAsia="仿宋" w:cs="仿宋"/>
                <w:sz w:val="30"/>
                <w:szCs w:val="30"/>
              </w:rPr>
            </w:pPr>
            <w:r>
              <w:rPr>
                <w:rFonts w:hint="eastAsia" w:ascii="仿宋" w:hAnsi="仿宋" w:eastAsia="仿宋" w:cs="仿宋"/>
                <w:sz w:val="30"/>
                <w:szCs w:val="30"/>
                <w:lang w:bidi="ar"/>
              </w:rPr>
              <w:t>标本运输质量控制：建立冷链运输全流程质控体系，运输温度、运行轨迹全程实时监控；转运容器定期消杀、维保；物流人员定期生物安全及操作培训，杜绝标本破损、渗漏、失温、丢失。</w:t>
            </w:r>
          </w:p>
        </w:tc>
      </w:tr>
      <w:tr w14:paraId="5F1CF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trPr>
        <w:tc>
          <w:tcPr>
            <w:tcW w:w="1286" w:type="dxa"/>
            <w:vMerge w:val="restart"/>
            <w:tcBorders>
              <w:top w:val="single" w:color="auto" w:sz="4" w:space="0"/>
              <w:left w:val="single" w:color="auto" w:sz="4" w:space="0"/>
              <w:right w:val="single" w:color="auto" w:sz="4" w:space="0"/>
            </w:tcBorders>
            <w:vAlign w:val="center"/>
          </w:tcPr>
          <w:p w14:paraId="24DCB372">
            <w:pPr>
              <w:spacing w:beforeAutospacing="1" w:line="276" w:lineRule="auto"/>
              <w:jc w:val="center"/>
              <w:rPr>
                <w:rFonts w:hint="eastAsia" w:ascii="仿宋" w:hAnsi="仿宋" w:eastAsia="仿宋" w:cs="仿宋"/>
                <w:sz w:val="30"/>
                <w:szCs w:val="30"/>
              </w:rPr>
            </w:pPr>
            <w:r>
              <w:rPr>
                <w:rFonts w:hint="eastAsia" w:ascii="仿宋" w:hAnsi="仿宋" w:eastAsia="仿宋" w:cs="仿宋"/>
                <w:sz w:val="30"/>
                <w:szCs w:val="30"/>
                <w:lang w:eastAsia="zh" w:bidi="ar"/>
              </w:rPr>
              <w:t>4.</w:t>
            </w:r>
            <w:r>
              <w:rPr>
                <w:rFonts w:hint="eastAsia" w:ascii="仿宋" w:hAnsi="仿宋" w:eastAsia="仿宋" w:cs="仿宋"/>
                <w:sz w:val="30"/>
                <w:szCs w:val="30"/>
                <w:lang w:bidi="ar"/>
              </w:rPr>
              <w:t>应急方案要求</w:t>
            </w:r>
          </w:p>
        </w:tc>
        <w:tc>
          <w:tcPr>
            <w:tcW w:w="822" w:type="dxa"/>
            <w:tcBorders>
              <w:top w:val="single" w:color="auto" w:sz="4" w:space="0"/>
              <w:left w:val="single" w:color="auto" w:sz="4" w:space="0"/>
              <w:right w:val="single" w:color="auto" w:sz="4" w:space="0"/>
            </w:tcBorders>
          </w:tcPr>
          <w:p w14:paraId="5039068C">
            <w:pPr>
              <w:spacing w:beforeAutospacing="1" w:line="276" w:lineRule="auto"/>
              <w:jc w:val="center"/>
              <w:rPr>
                <w:rFonts w:hint="eastAsia" w:ascii="仿宋" w:hAnsi="仿宋" w:eastAsia="仿宋" w:cs="仿宋"/>
                <w:sz w:val="30"/>
                <w:szCs w:val="30"/>
                <w:lang w:bidi="ar"/>
              </w:rPr>
            </w:pPr>
          </w:p>
        </w:tc>
        <w:tc>
          <w:tcPr>
            <w:tcW w:w="889" w:type="dxa"/>
            <w:tcBorders>
              <w:top w:val="single" w:color="auto" w:sz="4" w:space="0"/>
              <w:left w:val="single" w:color="auto" w:sz="4" w:space="0"/>
              <w:bottom w:val="single" w:color="auto" w:sz="4" w:space="0"/>
              <w:right w:val="single" w:color="auto" w:sz="4" w:space="0"/>
            </w:tcBorders>
            <w:vAlign w:val="center"/>
          </w:tcPr>
          <w:p w14:paraId="41DCEBC3">
            <w:pPr>
              <w:spacing w:beforeAutospacing="1" w:line="276" w:lineRule="auto"/>
              <w:jc w:val="center"/>
              <w:rPr>
                <w:rFonts w:hint="eastAsia" w:ascii="仿宋" w:hAnsi="仿宋" w:eastAsia="仿宋" w:cs="仿宋"/>
                <w:sz w:val="30"/>
                <w:szCs w:val="30"/>
              </w:rPr>
            </w:pPr>
            <w:r>
              <w:rPr>
                <w:rFonts w:hint="eastAsia" w:ascii="仿宋" w:hAnsi="仿宋" w:eastAsia="仿宋" w:cs="仿宋"/>
                <w:sz w:val="30"/>
                <w:szCs w:val="30"/>
                <w:lang w:bidi="ar"/>
              </w:rPr>
              <w:t>4.1</w:t>
            </w:r>
          </w:p>
        </w:tc>
        <w:tc>
          <w:tcPr>
            <w:tcW w:w="7381" w:type="dxa"/>
            <w:tcBorders>
              <w:top w:val="single" w:color="auto" w:sz="4" w:space="0"/>
              <w:left w:val="single" w:color="auto" w:sz="4" w:space="0"/>
              <w:bottom w:val="single" w:color="auto" w:sz="4" w:space="0"/>
              <w:right w:val="single" w:color="auto" w:sz="4" w:space="0"/>
            </w:tcBorders>
            <w:vAlign w:val="center"/>
          </w:tcPr>
          <w:p w14:paraId="534D7F64">
            <w:pPr>
              <w:spacing w:beforeAutospacing="1" w:line="276" w:lineRule="auto"/>
              <w:jc w:val="left"/>
              <w:rPr>
                <w:rFonts w:hint="eastAsia" w:ascii="仿宋" w:hAnsi="仿宋" w:eastAsia="仿宋" w:cs="仿宋"/>
                <w:sz w:val="30"/>
                <w:szCs w:val="30"/>
              </w:rPr>
            </w:pPr>
            <w:r>
              <w:rPr>
                <w:rFonts w:hint="eastAsia" w:ascii="仿宋" w:hAnsi="仿宋" w:eastAsia="仿宋" w:cs="仿宋"/>
                <w:sz w:val="30"/>
                <w:szCs w:val="30"/>
                <w:lang w:bidi="ar"/>
              </w:rPr>
              <w:t>结果异议应急方案：建立检测结果异议受理、登记、复核、复检、结果反馈、原因分析及整改闭环流程，明确响应时限及处置流程。</w:t>
            </w:r>
          </w:p>
        </w:tc>
      </w:tr>
      <w:tr w14:paraId="0EEAA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trPr>
        <w:tc>
          <w:tcPr>
            <w:tcW w:w="1286" w:type="dxa"/>
            <w:vMerge w:val="continue"/>
            <w:tcBorders>
              <w:left w:val="single" w:color="auto" w:sz="4" w:space="0"/>
              <w:right w:val="single" w:color="auto" w:sz="4" w:space="0"/>
            </w:tcBorders>
            <w:vAlign w:val="center"/>
          </w:tcPr>
          <w:p w14:paraId="75B7F67B">
            <w:pPr>
              <w:spacing w:beforeAutospacing="1" w:line="276" w:lineRule="auto"/>
              <w:jc w:val="center"/>
              <w:rPr>
                <w:rFonts w:hint="eastAsia" w:ascii="仿宋" w:hAnsi="仿宋" w:eastAsia="仿宋" w:cs="仿宋"/>
                <w:sz w:val="30"/>
                <w:szCs w:val="30"/>
              </w:rPr>
            </w:pPr>
          </w:p>
        </w:tc>
        <w:tc>
          <w:tcPr>
            <w:tcW w:w="822" w:type="dxa"/>
            <w:tcBorders>
              <w:left w:val="single" w:color="auto" w:sz="4" w:space="0"/>
              <w:right w:val="single" w:color="auto" w:sz="4" w:space="0"/>
            </w:tcBorders>
          </w:tcPr>
          <w:p w14:paraId="0C179EF6">
            <w:pPr>
              <w:spacing w:beforeAutospacing="1" w:line="276" w:lineRule="auto"/>
              <w:jc w:val="center"/>
              <w:rPr>
                <w:rFonts w:hint="eastAsia" w:ascii="仿宋" w:hAnsi="仿宋" w:eastAsia="仿宋" w:cs="仿宋"/>
                <w:sz w:val="30"/>
                <w:szCs w:val="30"/>
                <w:lang w:bidi="ar"/>
              </w:rPr>
            </w:pPr>
          </w:p>
        </w:tc>
        <w:tc>
          <w:tcPr>
            <w:tcW w:w="889" w:type="dxa"/>
            <w:tcBorders>
              <w:top w:val="single" w:color="auto" w:sz="4" w:space="0"/>
              <w:left w:val="single" w:color="auto" w:sz="4" w:space="0"/>
              <w:bottom w:val="single" w:color="auto" w:sz="4" w:space="0"/>
              <w:right w:val="single" w:color="auto" w:sz="4" w:space="0"/>
            </w:tcBorders>
            <w:vAlign w:val="center"/>
          </w:tcPr>
          <w:p w14:paraId="2D77B91B">
            <w:pPr>
              <w:spacing w:beforeAutospacing="1" w:line="276" w:lineRule="auto"/>
              <w:jc w:val="center"/>
              <w:rPr>
                <w:rFonts w:hint="eastAsia" w:ascii="仿宋" w:hAnsi="仿宋" w:eastAsia="仿宋" w:cs="仿宋"/>
                <w:sz w:val="30"/>
                <w:szCs w:val="30"/>
              </w:rPr>
            </w:pPr>
            <w:r>
              <w:rPr>
                <w:rFonts w:hint="eastAsia" w:ascii="仿宋" w:hAnsi="仿宋" w:eastAsia="仿宋" w:cs="仿宋"/>
                <w:sz w:val="30"/>
                <w:szCs w:val="30"/>
                <w:lang w:bidi="ar"/>
              </w:rPr>
              <w:t>4.2</w:t>
            </w:r>
          </w:p>
        </w:tc>
        <w:tc>
          <w:tcPr>
            <w:tcW w:w="7381" w:type="dxa"/>
            <w:tcBorders>
              <w:top w:val="single" w:color="auto" w:sz="4" w:space="0"/>
              <w:left w:val="single" w:color="auto" w:sz="4" w:space="0"/>
              <w:bottom w:val="single" w:color="auto" w:sz="4" w:space="0"/>
              <w:right w:val="single" w:color="auto" w:sz="4" w:space="0"/>
            </w:tcBorders>
            <w:vAlign w:val="center"/>
          </w:tcPr>
          <w:p w14:paraId="6505145A">
            <w:pPr>
              <w:spacing w:beforeAutospacing="1" w:line="276" w:lineRule="auto"/>
              <w:jc w:val="left"/>
              <w:rPr>
                <w:rFonts w:hint="eastAsia" w:ascii="仿宋" w:hAnsi="仿宋" w:eastAsia="仿宋" w:cs="仿宋"/>
                <w:sz w:val="30"/>
                <w:szCs w:val="30"/>
              </w:rPr>
            </w:pPr>
            <w:r>
              <w:rPr>
                <w:rFonts w:hint="eastAsia" w:ascii="仿宋" w:hAnsi="仿宋" w:eastAsia="仿宋" w:cs="仿宋"/>
                <w:sz w:val="30"/>
                <w:szCs w:val="30"/>
                <w:lang w:bidi="ar"/>
              </w:rPr>
              <w:t>报告丢失应急方案：制定纸质报告、电子报告丢失/损毁的应急补发、数据备份、系统恢复、溯源核查处置流程。</w:t>
            </w:r>
          </w:p>
        </w:tc>
      </w:tr>
      <w:tr w14:paraId="23ED9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trPr>
        <w:tc>
          <w:tcPr>
            <w:tcW w:w="1286" w:type="dxa"/>
            <w:vMerge w:val="continue"/>
            <w:tcBorders>
              <w:left w:val="single" w:color="auto" w:sz="4" w:space="0"/>
              <w:right w:val="single" w:color="auto" w:sz="4" w:space="0"/>
            </w:tcBorders>
            <w:vAlign w:val="center"/>
          </w:tcPr>
          <w:p w14:paraId="5C424865">
            <w:pPr>
              <w:spacing w:beforeAutospacing="1" w:line="276" w:lineRule="auto"/>
              <w:jc w:val="center"/>
              <w:rPr>
                <w:rFonts w:hint="eastAsia" w:ascii="仿宋" w:hAnsi="仿宋" w:eastAsia="仿宋" w:cs="仿宋"/>
                <w:sz w:val="30"/>
                <w:szCs w:val="30"/>
              </w:rPr>
            </w:pPr>
          </w:p>
        </w:tc>
        <w:tc>
          <w:tcPr>
            <w:tcW w:w="822" w:type="dxa"/>
            <w:tcBorders>
              <w:left w:val="single" w:color="auto" w:sz="4" w:space="0"/>
              <w:right w:val="single" w:color="auto" w:sz="4" w:space="0"/>
            </w:tcBorders>
          </w:tcPr>
          <w:p w14:paraId="28EA80B1">
            <w:pPr>
              <w:spacing w:beforeAutospacing="1" w:line="276" w:lineRule="auto"/>
              <w:jc w:val="center"/>
              <w:rPr>
                <w:rFonts w:hint="eastAsia" w:ascii="仿宋" w:hAnsi="仿宋" w:eastAsia="仿宋" w:cs="仿宋"/>
                <w:sz w:val="30"/>
                <w:szCs w:val="30"/>
                <w:lang w:bidi="ar"/>
              </w:rPr>
            </w:pPr>
          </w:p>
        </w:tc>
        <w:tc>
          <w:tcPr>
            <w:tcW w:w="889" w:type="dxa"/>
            <w:tcBorders>
              <w:top w:val="single" w:color="auto" w:sz="4" w:space="0"/>
              <w:left w:val="single" w:color="auto" w:sz="4" w:space="0"/>
              <w:bottom w:val="single" w:color="auto" w:sz="4" w:space="0"/>
              <w:right w:val="single" w:color="auto" w:sz="4" w:space="0"/>
            </w:tcBorders>
            <w:vAlign w:val="center"/>
          </w:tcPr>
          <w:p w14:paraId="75E01FCF">
            <w:pPr>
              <w:spacing w:beforeAutospacing="1" w:line="276" w:lineRule="auto"/>
              <w:jc w:val="center"/>
              <w:rPr>
                <w:rFonts w:hint="eastAsia" w:ascii="仿宋" w:hAnsi="仿宋" w:eastAsia="仿宋" w:cs="仿宋"/>
                <w:sz w:val="30"/>
                <w:szCs w:val="30"/>
              </w:rPr>
            </w:pPr>
            <w:r>
              <w:rPr>
                <w:rFonts w:hint="eastAsia" w:ascii="仿宋" w:hAnsi="仿宋" w:eastAsia="仿宋" w:cs="仿宋"/>
                <w:sz w:val="30"/>
                <w:szCs w:val="30"/>
                <w:lang w:bidi="ar"/>
              </w:rPr>
              <w:t>4.3</w:t>
            </w:r>
          </w:p>
        </w:tc>
        <w:tc>
          <w:tcPr>
            <w:tcW w:w="7381" w:type="dxa"/>
            <w:tcBorders>
              <w:top w:val="single" w:color="auto" w:sz="4" w:space="0"/>
              <w:left w:val="single" w:color="auto" w:sz="4" w:space="0"/>
              <w:bottom w:val="single" w:color="auto" w:sz="4" w:space="0"/>
              <w:right w:val="single" w:color="auto" w:sz="4" w:space="0"/>
            </w:tcBorders>
            <w:vAlign w:val="center"/>
          </w:tcPr>
          <w:p w14:paraId="32312F3A">
            <w:pPr>
              <w:spacing w:beforeAutospacing="1" w:line="276" w:lineRule="auto"/>
              <w:jc w:val="left"/>
              <w:rPr>
                <w:rFonts w:hint="eastAsia" w:ascii="仿宋" w:hAnsi="仿宋" w:eastAsia="仿宋" w:cs="仿宋"/>
                <w:sz w:val="30"/>
                <w:szCs w:val="30"/>
              </w:rPr>
            </w:pPr>
            <w:r>
              <w:rPr>
                <w:rFonts w:hint="eastAsia" w:ascii="仿宋" w:hAnsi="仿宋" w:eastAsia="仿宋" w:cs="仿宋"/>
                <w:sz w:val="30"/>
                <w:szCs w:val="30"/>
                <w:lang w:bidi="ar"/>
              </w:rPr>
              <w:t>售后支持应急方案：设立7×24小时应急售后联络渠道，明确紧急诉求响应时限、现场服务到场时限、问题办结及回访机制。</w:t>
            </w:r>
          </w:p>
        </w:tc>
      </w:tr>
      <w:tr w14:paraId="63958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trPr>
        <w:tc>
          <w:tcPr>
            <w:tcW w:w="1286" w:type="dxa"/>
            <w:vMerge w:val="continue"/>
            <w:tcBorders>
              <w:left w:val="single" w:color="auto" w:sz="4" w:space="0"/>
              <w:right w:val="single" w:color="auto" w:sz="4" w:space="0"/>
            </w:tcBorders>
            <w:vAlign w:val="center"/>
          </w:tcPr>
          <w:p w14:paraId="6C6B555A">
            <w:pPr>
              <w:spacing w:beforeAutospacing="1" w:line="276" w:lineRule="auto"/>
              <w:jc w:val="center"/>
              <w:rPr>
                <w:rFonts w:hint="eastAsia" w:ascii="仿宋" w:hAnsi="仿宋" w:eastAsia="仿宋" w:cs="仿宋"/>
                <w:sz w:val="30"/>
                <w:szCs w:val="30"/>
              </w:rPr>
            </w:pPr>
          </w:p>
        </w:tc>
        <w:tc>
          <w:tcPr>
            <w:tcW w:w="822" w:type="dxa"/>
            <w:tcBorders>
              <w:left w:val="single" w:color="auto" w:sz="4" w:space="0"/>
              <w:right w:val="single" w:color="auto" w:sz="4" w:space="0"/>
            </w:tcBorders>
          </w:tcPr>
          <w:p w14:paraId="10306E69">
            <w:pPr>
              <w:spacing w:beforeAutospacing="1" w:line="276" w:lineRule="auto"/>
              <w:jc w:val="center"/>
              <w:rPr>
                <w:rFonts w:hint="eastAsia" w:ascii="仿宋" w:hAnsi="仿宋" w:eastAsia="仿宋" w:cs="仿宋"/>
                <w:sz w:val="30"/>
                <w:szCs w:val="30"/>
                <w:lang w:bidi="ar"/>
              </w:rPr>
            </w:pPr>
          </w:p>
        </w:tc>
        <w:tc>
          <w:tcPr>
            <w:tcW w:w="889" w:type="dxa"/>
            <w:tcBorders>
              <w:top w:val="single" w:color="auto" w:sz="4" w:space="0"/>
              <w:left w:val="single" w:color="auto" w:sz="4" w:space="0"/>
              <w:bottom w:val="single" w:color="auto" w:sz="4" w:space="0"/>
              <w:right w:val="single" w:color="auto" w:sz="4" w:space="0"/>
            </w:tcBorders>
            <w:vAlign w:val="center"/>
          </w:tcPr>
          <w:p w14:paraId="6CB6435F">
            <w:pPr>
              <w:spacing w:beforeAutospacing="1" w:line="276" w:lineRule="auto"/>
              <w:jc w:val="center"/>
              <w:rPr>
                <w:rFonts w:hint="eastAsia" w:ascii="仿宋" w:hAnsi="仿宋" w:eastAsia="仿宋" w:cs="仿宋"/>
                <w:sz w:val="30"/>
                <w:szCs w:val="30"/>
              </w:rPr>
            </w:pPr>
            <w:r>
              <w:rPr>
                <w:rFonts w:hint="eastAsia" w:ascii="仿宋" w:hAnsi="仿宋" w:eastAsia="仿宋" w:cs="仿宋"/>
                <w:sz w:val="30"/>
                <w:szCs w:val="30"/>
                <w:lang w:bidi="ar"/>
              </w:rPr>
              <w:t>4.4</w:t>
            </w:r>
          </w:p>
        </w:tc>
        <w:tc>
          <w:tcPr>
            <w:tcW w:w="7381" w:type="dxa"/>
            <w:tcBorders>
              <w:top w:val="single" w:color="auto" w:sz="4" w:space="0"/>
              <w:left w:val="single" w:color="auto" w:sz="4" w:space="0"/>
              <w:bottom w:val="single" w:color="auto" w:sz="4" w:space="0"/>
              <w:right w:val="single" w:color="auto" w:sz="4" w:space="0"/>
            </w:tcBorders>
            <w:vAlign w:val="center"/>
          </w:tcPr>
          <w:p w14:paraId="27438016">
            <w:pPr>
              <w:spacing w:beforeAutospacing="1" w:line="276" w:lineRule="auto"/>
              <w:jc w:val="left"/>
              <w:rPr>
                <w:rFonts w:hint="eastAsia" w:ascii="仿宋" w:hAnsi="仿宋" w:eastAsia="仿宋" w:cs="仿宋"/>
                <w:sz w:val="30"/>
                <w:szCs w:val="30"/>
              </w:rPr>
            </w:pPr>
            <w:r>
              <w:rPr>
                <w:rFonts w:hint="eastAsia" w:ascii="仿宋" w:hAnsi="仿宋" w:eastAsia="仿宋" w:cs="仿宋"/>
                <w:sz w:val="30"/>
                <w:szCs w:val="30"/>
                <w:lang w:bidi="ar"/>
              </w:rPr>
              <w:t>仪器、分析软件故障维修应急方案：制定检测设备、分析软件突发故障停机应急预案，配置备用设备/备用系统，确保检测业务不中断、报告出具不受影响。</w:t>
            </w:r>
          </w:p>
        </w:tc>
      </w:tr>
      <w:tr w14:paraId="22C35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trPr>
        <w:tc>
          <w:tcPr>
            <w:tcW w:w="1286" w:type="dxa"/>
            <w:vMerge w:val="continue"/>
            <w:tcBorders>
              <w:left w:val="single" w:color="auto" w:sz="4" w:space="0"/>
              <w:right w:val="single" w:color="auto" w:sz="4" w:space="0"/>
            </w:tcBorders>
            <w:vAlign w:val="center"/>
          </w:tcPr>
          <w:p w14:paraId="7A6D2312">
            <w:pPr>
              <w:spacing w:beforeAutospacing="1" w:line="276" w:lineRule="auto"/>
              <w:jc w:val="center"/>
              <w:rPr>
                <w:rFonts w:hint="eastAsia" w:ascii="仿宋" w:hAnsi="仿宋" w:eastAsia="仿宋" w:cs="仿宋"/>
                <w:sz w:val="30"/>
                <w:szCs w:val="30"/>
              </w:rPr>
            </w:pPr>
          </w:p>
        </w:tc>
        <w:tc>
          <w:tcPr>
            <w:tcW w:w="822" w:type="dxa"/>
            <w:tcBorders>
              <w:left w:val="single" w:color="auto" w:sz="4" w:space="0"/>
              <w:right w:val="single" w:color="auto" w:sz="4" w:space="0"/>
            </w:tcBorders>
          </w:tcPr>
          <w:p w14:paraId="38DE5787">
            <w:pPr>
              <w:spacing w:beforeAutospacing="1" w:line="276" w:lineRule="auto"/>
              <w:jc w:val="center"/>
              <w:rPr>
                <w:rFonts w:hint="eastAsia" w:ascii="仿宋" w:hAnsi="仿宋" w:eastAsia="仿宋" w:cs="仿宋"/>
                <w:sz w:val="30"/>
                <w:szCs w:val="30"/>
                <w:lang w:bidi="ar"/>
              </w:rPr>
            </w:pPr>
          </w:p>
        </w:tc>
        <w:tc>
          <w:tcPr>
            <w:tcW w:w="889" w:type="dxa"/>
            <w:tcBorders>
              <w:top w:val="single" w:color="auto" w:sz="4" w:space="0"/>
              <w:left w:val="single" w:color="auto" w:sz="4" w:space="0"/>
              <w:bottom w:val="single" w:color="auto" w:sz="4" w:space="0"/>
              <w:right w:val="single" w:color="auto" w:sz="4" w:space="0"/>
            </w:tcBorders>
            <w:vAlign w:val="center"/>
          </w:tcPr>
          <w:p w14:paraId="47E76AF1">
            <w:pPr>
              <w:spacing w:beforeAutospacing="1" w:line="276" w:lineRule="auto"/>
              <w:jc w:val="center"/>
              <w:rPr>
                <w:rFonts w:hint="eastAsia" w:ascii="仿宋" w:hAnsi="仿宋" w:eastAsia="仿宋" w:cs="仿宋"/>
                <w:sz w:val="30"/>
                <w:szCs w:val="30"/>
              </w:rPr>
            </w:pPr>
            <w:r>
              <w:rPr>
                <w:rFonts w:hint="eastAsia" w:ascii="仿宋" w:hAnsi="仿宋" w:eastAsia="仿宋" w:cs="仿宋"/>
                <w:sz w:val="30"/>
                <w:szCs w:val="30"/>
                <w:lang w:bidi="ar"/>
              </w:rPr>
              <w:t>4.5</w:t>
            </w:r>
          </w:p>
        </w:tc>
        <w:tc>
          <w:tcPr>
            <w:tcW w:w="7381" w:type="dxa"/>
            <w:tcBorders>
              <w:top w:val="single" w:color="auto" w:sz="4" w:space="0"/>
              <w:left w:val="single" w:color="auto" w:sz="4" w:space="0"/>
              <w:bottom w:val="single" w:color="auto" w:sz="4" w:space="0"/>
              <w:right w:val="single" w:color="auto" w:sz="4" w:space="0"/>
            </w:tcBorders>
            <w:vAlign w:val="center"/>
          </w:tcPr>
          <w:p w14:paraId="13FE6DB4">
            <w:pPr>
              <w:spacing w:beforeAutospacing="1" w:line="276" w:lineRule="auto"/>
              <w:jc w:val="left"/>
              <w:rPr>
                <w:rFonts w:hint="eastAsia" w:ascii="仿宋" w:hAnsi="仿宋" w:eastAsia="仿宋" w:cs="仿宋"/>
                <w:sz w:val="30"/>
                <w:szCs w:val="30"/>
              </w:rPr>
            </w:pPr>
            <w:r>
              <w:rPr>
                <w:rFonts w:hint="eastAsia" w:ascii="仿宋" w:hAnsi="仿宋" w:eastAsia="仿宋" w:cs="仿宋"/>
                <w:sz w:val="30"/>
                <w:szCs w:val="30"/>
                <w:lang w:bidi="ar"/>
              </w:rPr>
              <w:t>特急标本优先加急特事特办服务：开通危重症、急诊标本检测绿色通道，实行专人对接、全程优先处理，明确加急标本最快报告出具时限。</w:t>
            </w:r>
          </w:p>
        </w:tc>
      </w:tr>
      <w:tr w14:paraId="08BF0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286" w:type="dxa"/>
            <w:vMerge w:val="restart"/>
            <w:tcBorders>
              <w:top w:val="single" w:color="auto" w:sz="4" w:space="0"/>
              <w:left w:val="single" w:color="auto" w:sz="4" w:space="0"/>
              <w:right w:val="single" w:color="auto" w:sz="4" w:space="0"/>
            </w:tcBorders>
            <w:vAlign w:val="center"/>
          </w:tcPr>
          <w:p w14:paraId="3AF42972">
            <w:pPr>
              <w:spacing w:beforeAutospacing="1" w:line="276" w:lineRule="auto"/>
              <w:jc w:val="left"/>
              <w:rPr>
                <w:rFonts w:hint="eastAsia" w:ascii="仿宋" w:hAnsi="仿宋" w:eastAsia="仿宋" w:cs="仿宋"/>
                <w:sz w:val="30"/>
                <w:szCs w:val="30"/>
              </w:rPr>
            </w:pPr>
            <w:r>
              <w:rPr>
                <w:rFonts w:hint="eastAsia" w:ascii="仿宋" w:hAnsi="仿宋" w:eastAsia="仿宋" w:cs="仿宋"/>
                <w:sz w:val="30"/>
                <w:szCs w:val="30"/>
                <w:lang w:eastAsia="zh" w:bidi="ar"/>
              </w:rPr>
              <w:t>5.</w:t>
            </w:r>
            <w:r>
              <w:rPr>
                <w:rFonts w:hint="eastAsia" w:ascii="仿宋" w:hAnsi="仿宋" w:eastAsia="仿宋" w:cs="仿宋"/>
                <w:sz w:val="30"/>
                <w:szCs w:val="30"/>
                <w:lang w:bidi="ar"/>
              </w:rPr>
              <w:t>安全方案要求</w:t>
            </w:r>
          </w:p>
        </w:tc>
        <w:tc>
          <w:tcPr>
            <w:tcW w:w="822" w:type="dxa"/>
            <w:tcBorders>
              <w:top w:val="single" w:color="auto" w:sz="4" w:space="0"/>
              <w:left w:val="single" w:color="auto" w:sz="4" w:space="0"/>
              <w:right w:val="single" w:color="auto" w:sz="4" w:space="0"/>
            </w:tcBorders>
          </w:tcPr>
          <w:p w14:paraId="1107502C">
            <w:pPr>
              <w:spacing w:beforeAutospacing="1" w:line="276" w:lineRule="auto"/>
              <w:jc w:val="center"/>
              <w:rPr>
                <w:rFonts w:hint="eastAsia" w:ascii="仿宋" w:hAnsi="仿宋" w:eastAsia="仿宋" w:cs="仿宋"/>
                <w:sz w:val="30"/>
                <w:szCs w:val="30"/>
                <w:lang w:bidi="ar"/>
              </w:rPr>
            </w:pPr>
          </w:p>
        </w:tc>
        <w:tc>
          <w:tcPr>
            <w:tcW w:w="889" w:type="dxa"/>
            <w:tcBorders>
              <w:top w:val="single" w:color="auto" w:sz="4" w:space="0"/>
              <w:left w:val="single" w:color="auto" w:sz="4" w:space="0"/>
              <w:bottom w:val="single" w:color="auto" w:sz="4" w:space="0"/>
              <w:right w:val="single" w:color="auto" w:sz="4" w:space="0"/>
            </w:tcBorders>
            <w:vAlign w:val="center"/>
          </w:tcPr>
          <w:p w14:paraId="43E6DAEC">
            <w:pPr>
              <w:spacing w:beforeAutospacing="1" w:line="276" w:lineRule="auto"/>
              <w:jc w:val="center"/>
              <w:rPr>
                <w:rFonts w:hint="eastAsia" w:ascii="仿宋" w:hAnsi="仿宋" w:eastAsia="仿宋" w:cs="仿宋"/>
                <w:sz w:val="30"/>
                <w:szCs w:val="30"/>
              </w:rPr>
            </w:pPr>
            <w:r>
              <w:rPr>
                <w:rFonts w:hint="eastAsia" w:ascii="仿宋" w:hAnsi="仿宋" w:eastAsia="仿宋" w:cs="仿宋"/>
                <w:sz w:val="30"/>
                <w:szCs w:val="30"/>
                <w:lang w:bidi="ar"/>
              </w:rPr>
              <w:t>5.1</w:t>
            </w:r>
          </w:p>
        </w:tc>
        <w:tc>
          <w:tcPr>
            <w:tcW w:w="7381" w:type="dxa"/>
            <w:tcBorders>
              <w:top w:val="single" w:color="auto" w:sz="4" w:space="0"/>
              <w:left w:val="single" w:color="auto" w:sz="4" w:space="0"/>
              <w:bottom w:val="single" w:color="auto" w:sz="4" w:space="0"/>
              <w:right w:val="single" w:color="auto" w:sz="4" w:space="0"/>
            </w:tcBorders>
            <w:vAlign w:val="center"/>
          </w:tcPr>
          <w:p w14:paraId="0A6967C7">
            <w:pPr>
              <w:spacing w:beforeAutospacing="1" w:line="276" w:lineRule="auto"/>
              <w:jc w:val="left"/>
              <w:rPr>
                <w:rFonts w:hint="eastAsia" w:ascii="仿宋" w:hAnsi="仿宋" w:eastAsia="仿宋" w:cs="仿宋"/>
                <w:sz w:val="30"/>
                <w:szCs w:val="30"/>
              </w:rPr>
            </w:pPr>
            <w:r>
              <w:rPr>
                <w:rFonts w:hint="eastAsia" w:ascii="仿宋" w:hAnsi="仿宋" w:eastAsia="仿宋" w:cs="仿宋"/>
                <w:sz w:val="30"/>
                <w:szCs w:val="30"/>
                <w:lang w:bidi="ar"/>
              </w:rPr>
              <w:t>配送环境（冷链运输）及运输安全：规范冷链运输包装、生物安全防护、运输路线规划、途中温度管控、突发交通事故/温控异常应急处置措施。</w:t>
            </w:r>
          </w:p>
        </w:tc>
      </w:tr>
      <w:tr w14:paraId="35CE6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trPr>
        <w:tc>
          <w:tcPr>
            <w:tcW w:w="1286" w:type="dxa"/>
            <w:vMerge w:val="continue"/>
            <w:tcBorders>
              <w:left w:val="single" w:color="auto" w:sz="4" w:space="0"/>
              <w:right w:val="single" w:color="auto" w:sz="4" w:space="0"/>
            </w:tcBorders>
            <w:vAlign w:val="center"/>
          </w:tcPr>
          <w:p w14:paraId="229D0AEB">
            <w:pPr>
              <w:spacing w:beforeAutospacing="1" w:line="276" w:lineRule="auto"/>
              <w:jc w:val="center"/>
              <w:rPr>
                <w:rFonts w:hint="eastAsia" w:ascii="仿宋" w:hAnsi="仿宋" w:eastAsia="仿宋" w:cs="仿宋"/>
                <w:sz w:val="30"/>
                <w:szCs w:val="30"/>
              </w:rPr>
            </w:pPr>
          </w:p>
        </w:tc>
        <w:tc>
          <w:tcPr>
            <w:tcW w:w="822" w:type="dxa"/>
            <w:tcBorders>
              <w:left w:val="single" w:color="auto" w:sz="4" w:space="0"/>
              <w:right w:val="single" w:color="auto" w:sz="4" w:space="0"/>
            </w:tcBorders>
          </w:tcPr>
          <w:p w14:paraId="414D43D8">
            <w:pPr>
              <w:spacing w:beforeAutospacing="1" w:line="276" w:lineRule="auto"/>
              <w:jc w:val="center"/>
              <w:rPr>
                <w:rFonts w:hint="eastAsia" w:ascii="仿宋" w:hAnsi="仿宋" w:eastAsia="仿宋" w:cs="仿宋"/>
                <w:sz w:val="30"/>
                <w:szCs w:val="30"/>
                <w:lang w:bidi="ar"/>
              </w:rPr>
            </w:pPr>
          </w:p>
        </w:tc>
        <w:tc>
          <w:tcPr>
            <w:tcW w:w="889" w:type="dxa"/>
            <w:tcBorders>
              <w:top w:val="single" w:color="auto" w:sz="4" w:space="0"/>
              <w:left w:val="single" w:color="auto" w:sz="4" w:space="0"/>
              <w:bottom w:val="single" w:color="auto" w:sz="4" w:space="0"/>
              <w:right w:val="single" w:color="auto" w:sz="4" w:space="0"/>
            </w:tcBorders>
            <w:vAlign w:val="center"/>
          </w:tcPr>
          <w:p w14:paraId="7DB89E9A">
            <w:pPr>
              <w:spacing w:beforeAutospacing="1" w:line="276" w:lineRule="auto"/>
              <w:jc w:val="center"/>
              <w:rPr>
                <w:rFonts w:hint="eastAsia" w:ascii="仿宋" w:hAnsi="仿宋" w:eastAsia="仿宋" w:cs="仿宋"/>
                <w:sz w:val="30"/>
                <w:szCs w:val="30"/>
              </w:rPr>
            </w:pPr>
            <w:r>
              <w:rPr>
                <w:rFonts w:hint="eastAsia" w:ascii="仿宋" w:hAnsi="仿宋" w:eastAsia="仿宋" w:cs="仿宋"/>
                <w:sz w:val="30"/>
                <w:szCs w:val="30"/>
                <w:lang w:bidi="ar"/>
              </w:rPr>
              <w:t>5.2</w:t>
            </w:r>
          </w:p>
        </w:tc>
        <w:tc>
          <w:tcPr>
            <w:tcW w:w="7381" w:type="dxa"/>
            <w:tcBorders>
              <w:top w:val="single" w:color="auto" w:sz="4" w:space="0"/>
              <w:left w:val="single" w:color="auto" w:sz="4" w:space="0"/>
              <w:bottom w:val="single" w:color="auto" w:sz="4" w:space="0"/>
              <w:right w:val="single" w:color="auto" w:sz="4" w:space="0"/>
            </w:tcBorders>
            <w:vAlign w:val="center"/>
          </w:tcPr>
          <w:p w14:paraId="2EA973DB">
            <w:pPr>
              <w:spacing w:beforeAutospacing="1" w:line="276" w:lineRule="auto"/>
              <w:jc w:val="left"/>
              <w:rPr>
                <w:rFonts w:hint="eastAsia" w:ascii="仿宋" w:hAnsi="仿宋" w:eastAsia="仿宋" w:cs="仿宋"/>
                <w:sz w:val="30"/>
                <w:szCs w:val="30"/>
              </w:rPr>
            </w:pPr>
            <w:r>
              <w:rPr>
                <w:rFonts w:hint="eastAsia" w:ascii="仿宋" w:hAnsi="仿宋" w:eastAsia="仿宋" w:cs="仿宋"/>
                <w:sz w:val="30"/>
                <w:szCs w:val="30"/>
                <w:lang w:bidi="ar"/>
              </w:rPr>
              <w:t>样品储存环境安全：标本储存区域实行封闭式门禁管理；储存设备具备温度实时监控、异常报警、断电保护功能；定期环境消杀、安全巡查、生物安全隐患排查。</w:t>
            </w:r>
          </w:p>
        </w:tc>
      </w:tr>
      <w:tr w14:paraId="76DCD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2" w:hRule="atLeast"/>
        </w:trPr>
        <w:tc>
          <w:tcPr>
            <w:tcW w:w="1286" w:type="dxa"/>
            <w:vMerge w:val="continue"/>
            <w:tcBorders>
              <w:left w:val="single" w:color="auto" w:sz="4" w:space="0"/>
              <w:bottom w:val="single" w:color="auto" w:sz="4" w:space="0"/>
              <w:right w:val="single" w:color="auto" w:sz="4" w:space="0"/>
            </w:tcBorders>
            <w:vAlign w:val="center"/>
          </w:tcPr>
          <w:p w14:paraId="4955A3C4">
            <w:pPr>
              <w:spacing w:beforeAutospacing="1" w:line="276" w:lineRule="auto"/>
              <w:jc w:val="center"/>
              <w:rPr>
                <w:rFonts w:hint="eastAsia" w:ascii="仿宋" w:hAnsi="仿宋" w:eastAsia="仿宋" w:cs="仿宋"/>
                <w:sz w:val="30"/>
                <w:szCs w:val="30"/>
              </w:rPr>
            </w:pPr>
          </w:p>
        </w:tc>
        <w:tc>
          <w:tcPr>
            <w:tcW w:w="822" w:type="dxa"/>
            <w:tcBorders>
              <w:left w:val="single" w:color="auto" w:sz="4" w:space="0"/>
              <w:bottom w:val="single" w:color="auto" w:sz="4" w:space="0"/>
              <w:right w:val="single" w:color="auto" w:sz="4" w:space="0"/>
            </w:tcBorders>
          </w:tcPr>
          <w:p w14:paraId="7D1F0511">
            <w:pPr>
              <w:spacing w:beforeAutospacing="1" w:line="276" w:lineRule="auto"/>
              <w:jc w:val="center"/>
              <w:rPr>
                <w:rFonts w:hint="eastAsia" w:ascii="仿宋" w:hAnsi="仿宋" w:eastAsia="仿宋" w:cs="仿宋"/>
                <w:sz w:val="30"/>
                <w:szCs w:val="30"/>
                <w:lang w:bidi="ar"/>
              </w:rPr>
            </w:pPr>
          </w:p>
        </w:tc>
        <w:tc>
          <w:tcPr>
            <w:tcW w:w="889" w:type="dxa"/>
            <w:tcBorders>
              <w:top w:val="single" w:color="auto" w:sz="4" w:space="0"/>
              <w:left w:val="single" w:color="auto" w:sz="4" w:space="0"/>
              <w:bottom w:val="single" w:color="auto" w:sz="4" w:space="0"/>
              <w:right w:val="single" w:color="auto" w:sz="4" w:space="0"/>
            </w:tcBorders>
            <w:vAlign w:val="center"/>
          </w:tcPr>
          <w:p w14:paraId="75786733">
            <w:pPr>
              <w:spacing w:beforeAutospacing="1" w:line="276" w:lineRule="auto"/>
              <w:jc w:val="center"/>
              <w:rPr>
                <w:rFonts w:hint="eastAsia" w:ascii="仿宋" w:hAnsi="仿宋" w:eastAsia="仿宋" w:cs="仿宋"/>
                <w:sz w:val="30"/>
                <w:szCs w:val="30"/>
              </w:rPr>
            </w:pPr>
            <w:r>
              <w:rPr>
                <w:rFonts w:hint="eastAsia" w:ascii="仿宋" w:hAnsi="仿宋" w:eastAsia="仿宋" w:cs="仿宋"/>
                <w:sz w:val="30"/>
                <w:szCs w:val="30"/>
                <w:lang w:bidi="ar"/>
              </w:rPr>
              <w:t>5.3</w:t>
            </w:r>
          </w:p>
        </w:tc>
        <w:tc>
          <w:tcPr>
            <w:tcW w:w="7381" w:type="dxa"/>
            <w:tcBorders>
              <w:top w:val="single" w:color="auto" w:sz="4" w:space="0"/>
              <w:left w:val="single" w:color="auto" w:sz="4" w:space="0"/>
              <w:bottom w:val="single" w:color="auto" w:sz="4" w:space="0"/>
              <w:right w:val="single" w:color="auto" w:sz="4" w:space="0"/>
            </w:tcBorders>
            <w:vAlign w:val="center"/>
          </w:tcPr>
          <w:p w14:paraId="271BF6EE">
            <w:pPr>
              <w:spacing w:beforeAutospacing="1" w:line="276" w:lineRule="auto"/>
              <w:jc w:val="left"/>
              <w:rPr>
                <w:rFonts w:hint="eastAsia" w:ascii="仿宋" w:hAnsi="仿宋" w:eastAsia="仿宋" w:cs="仿宋"/>
                <w:sz w:val="30"/>
                <w:szCs w:val="30"/>
              </w:rPr>
            </w:pPr>
            <w:r>
              <w:rPr>
                <w:rFonts w:hint="eastAsia" w:ascii="仿宋" w:hAnsi="仿宋" w:eastAsia="仿宋" w:cs="仿宋"/>
                <w:sz w:val="30"/>
                <w:szCs w:val="30"/>
                <w:lang w:bidi="ar"/>
              </w:rPr>
              <w:t>检测团队安全保障及设备安全操作：建立实验室生物安全防护制度，配齐个人防护用品；定期开展生物安全培训、职业暴露应急演练；制定所有仪器设备标准安全操作规程，实行专人持证操作、定期安全检查。</w:t>
            </w:r>
          </w:p>
        </w:tc>
      </w:tr>
      <w:tr w14:paraId="1A522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trPr>
        <w:tc>
          <w:tcPr>
            <w:tcW w:w="1286" w:type="dxa"/>
            <w:vMerge w:val="restart"/>
            <w:tcBorders>
              <w:top w:val="single" w:color="auto" w:sz="4" w:space="0"/>
              <w:left w:val="single" w:color="auto" w:sz="4" w:space="0"/>
              <w:right w:val="single" w:color="auto" w:sz="4" w:space="0"/>
            </w:tcBorders>
            <w:vAlign w:val="center"/>
          </w:tcPr>
          <w:p w14:paraId="10F40BE4">
            <w:pPr>
              <w:spacing w:beforeAutospacing="1" w:line="276" w:lineRule="auto"/>
              <w:jc w:val="left"/>
              <w:rPr>
                <w:rFonts w:hint="eastAsia" w:ascii="仿宋" w:hAnsi="仿宋" w:eastAsia="仿宋" w:cs="仿宋"/>
                <w:sz w:val="30"/>
                <w:szCs w:val="30"/>
              </w:rPr>
            </w:pPr>
            <w:r>
              <w:rPr>
                <w:rFonts w:hint="eastAsia" w:ascii="仿宋" w:hAnsi="仿宋" w:eastAsia="仿宋" w:cs="仿宋"/>
                <w:sz w:val="30"/>
                <w:szCs w:val="30"/>
                <w:lang w:eastAsia="zh" w:bidi="ar"/>
              </w:rPr>
              <w:t>6.</w:t>
            </w:r>
            <w:r>
              <w:rPr>
                <w:rFonts w:hint="eastAsia" w:ascii="仿宋" w:hAnsi="仿宋" w:eastAsia="仿宋" w:cs="仿宋"/>
                <w:sz w:val="30"/>
                <w:szCs w:val="30"/>
                <w:lang w:bidi="ar"/>
              </w:rPr>
              <w:t>售后服务方案要求</w:t>
            </w:r>
          </w:p>
        </w:tc>
        <w:tc>
          <w:tcPr>
            <w:tcW w:w="822" w:type="dxa"/>
            <w:tcBorders>
              <w:top w:val="single" w:color="auto" w:sz="4" w:space="0"/>
              <w:left w:val="single" w:color="auto" w:sz="4" w:space="0"/>
              <w:right w:val="single" w:color="auto" w:sz="4" w:space="0"/>
            </w:tcBorders>
          </w:tcPr>
          <w:p w14:paraId="1DD74117">
            <w:pPr>
              <w:spacing w:beforeAutospacing="1" w:line="276" w:lineRule="auto"/>
              <w:jc w:val="center"/>
              <w:rPr>
                <w:rFonts w:hint="eastAsia" w:ascii="仿宋" w:hAnsi="仿宋" w:eastAsia="仿宋" w:cs="仿宋"/>
                <w:sz w:val="30"/>
                <w:szCs w:val="30"/>
                <w:lang w:bidi="ar"/>
              </w:rPr>
            </w:pPr>
          </w:p>
        </w:tc>
        <w:tc>
          <w:tcPr>
            <w:tcW w:w="889" w:type="dxa"/>
            <w:tcBorders>
              <w:top w:val="single" w:color="auto" w:sz="4" w:space="0"/>
              <w:left w:val="single" w:color="auto" w:sz="4" w:space="0"/>
              <w:bottom w:val="single" w:color="auto" w:sz="4" w:space="0"/>
              <w:right w:val="single" w:color="auto" w:sz="4" w:space="0"/>
            </w:tcBorders>
            <w:vAlign w:val="center"/>
          </w:tcPr>
          <w:p w14:paraId="7D78EF49">
            <w:pPr>
              <w:spacing w:beforeAutospacing="1" w:line="276" w:lineRule="auto"/>
              <w:jc w:val="center"/>
              <w:rPr>
                <w:rFonts w:hint="eastAsia" w:ascii="仿宋" w:hAnsi="仿宋" w:eastAsia="仿宋" w:cs="仿宋"/>
                <w:sz w:val="30"/>
                <w:szCs w:val="30"/>
              </w:rPr>
            </w:pPr>
            <w:r>
              <w:rPr>
                <w:rFonts w:hint="eastAsia" w:ascii="仿宋" w:hAnsi="仿宋" w:eastAsia="仿宋" w:cs="仿宋"/>
                <w:sz w:val="30"/>
                <w:szCs w:val="30"/>
                <w:lang w:bidi="ar"/>
              </w:rPr>
              <w:t>6.1</w:t>
            </w:r>
          </w:p>
        </w:tc>
        <w:tc>
          <w:tcPr>
            <w:tcW w:w="7381" w:type="dxa"/>
            <w:tcBorders>
              <w:top w:val="single" w:color="auto" w:sz="4" w:space="0"/>
              <w:left w:val="single" w:color="auto" w:sz="4" w:space="0"/>
              <w:bottom w:val="single" w:color="auto" w:sz="4" w:space="0"/>
              <w:right w:val="single" w:color="auto" w:sz="4" w:space="0"/>
            </w:tcBorders>
            <w:vAlign w:val="center"/>
          </w:tcPr>
          <w:p w14:paraId="2380ABF9">
            <w:pPr>
              <w:spacing w:beforeAutospacing="1" w:line="276" w:lineRule="auto"/>
              <w:jc w:val="left"/>
              <w:rPr>
                <w:rFonts w:hint="eastAsia" w:ascii="仿宋" w:hAnsi="仿宋" w:eastAsia="仿宋" w:cs="仿宋"/>
                <w:sz w:val="30"/>
                <w:szCs w:val="30"/>
              </w:rPr>
            </w:pPr>
            <w:r>
              <w:rPr>
                <w:rFonts w:hint="eastAsia" w:ascii="仿宋" w:hAnsi="仿宋" w:eastAsia="仿宋" w:cs="仿宋"/>
                <w:sz w:val="30"/>
                <w:szCs w:val="30"/>
                <w:lang w:bidi="ar"/>
              </w:rPr>
              <w:t>服务响应与支持：设立专属项目对接人，建立日常业务咨询、问题投诉、业务协调常态化响应机制，限时办结、事后回访。</w:t>
            </w:r>
          </w:p>
        </w:tc>
      </w:tr>
      <w:tr w14:paraId="32ABD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trPr>
        <w:tc>
          <w:tcPr>
            <w:tcW w:w="1286" w:type="dxa"/>
            <w:vMerge w:val="continue"/>
            <w:tcBorders>
              <w:left w:val="single" w:color="auto" w:sz="4" w:space="0"/>
              <w:right w:val="single" w:color="auto" w:sz="4" w:space="0"/>
            </w:tcBorders>
            <w:vAlign w:val="center"/>
          </w:tcPr>
          <w:p w14:paraId="5D496E87">
            <w:pPr>
              <w:spacing w:beforeAutospacing="1" w:line="276" w:lineRule="auto"/>
              <w:jc w:val="center"/>
              <w:rPr>
                <w:rFonts w:hint="eastAsia" w:ascii="仿宋" w:hAnsi="仿宋" w:eastAsia="仿宋" w:cs="仿宋"/>
                <w:sz w:val="30"/>
                <w:szCs w:val="30"/>
              </w:rPr>
            </w:pPr>
          </w:p>
        </w:tc>
        <w:tc>
          <w:tcPr>
            <w:tcW w:w="822" w:type="dxa"/>
            <w:tcBorders>
              <w:left w:val="single" w:color="auto" w:sz="4" w:space="0"/>
              <w:right w:val="single" w:color="auto" w:sz="4" w:space="0"/>
            </w:tcBorders>
          </w:tcPr>
          <w:p w14:paraId="2CD7DEF1">
            <w:pPr>
              <w:spacing w:beforeAutospacing="1" w:line="276" w:lineRule="auto"/>
              <w:jc w:val="center"/>
              <w:rPr>
                <w:rFonts w:hint="eastAsia" w:ascii="仿宋" w:hAnsi="仿宋" w:eastAsia="仿宋" w:cs="仿宋"/>
                <w:sz w:val="30"/>
                <w:szCs w:val="30"/>
                <w:lang w:bidi="ar"/>
              </w:rPr>
            </w:pPr>
          </w:p>
        </w:tc>
        <w:tc>
          <w:tcPr>
            <w:tcW w:w="889" w:type="dxa"/>
            <w:tcBorders>
              <w:top w:val="single" w:color="auto" w:sz="4" w:space="0"/>
              <w:left w:val="single" w:color="auto" w:sz="4" w:space="0"/>
              <w:bottom w:val="single" w:color="auto" w:sz="4" w:space="0"/>
              <w:right w:val="single" w:color="auto" w:sz="4" w:space="0"/>
            </w:tcBorders>
            <w:vAlign w:val="center"/>
          </w:tcPr>
          <w:p w14:paraId="652219B7">
            <w:pPr>
              <w:spacing w:beforeAutospacing="1" w:line="276" w:lineRule="auto"/>
              <w:jc w:val="center"/>
              <w:rPr>
                <w:rFonts w:hint="eastAsia" w:ascii="仿宋" w:hAnsi="仿宋" w:eastAsia="仿宋" w:cs="仿宋"/>
                <w:sz w:val="30"/>
                <w:szCs w:val="30"/>
              </w:rPr>
            </w:pPr>
            <w:r>
              <w:rPr>
                <w:rFonts w:hint="eastAsia" w:ascii="仿宋" w:hAnsi="仿宋" w:eastAsia="仿宋" w:cs="仿宋"/>
                <w:sz w:val="30"/>
                <w:szCs w:val="30"/>
                <w:lang w:bidi="ar"/>
              </w:rPr>
              <w:t>6.2</w:t>
            </w:r>
          </w:p>
        </w:tc>
        <w:tc>
          <w:tcPr>
            <w:tcW w:w="7381" w:type="dxa"/>
            <w:tcBorders>
              <w:top w:val="single" w:color="auto" w:sz="4" w:space="0"/>
              <w:left w:val="single" w:color="auto" w:sz="4" w:space="0"/>
              <w:bottom w:val="single" w:color="auto" w:sz="4" w:space="0"/>
              <w:right w:val="single" w:color="auto" w:sz="4" w:space="0"/>
            </w:tcBorders>
            <w:vAlign w:val="center"/>
          </w:tcPr>
          <w:p w14:paraId="6841782A">
            <w:pPr>
              <w:spacing w:beforeAutospacing="1" w:line="276" w:lineRule="auto"/>
              <w:jc w:val="left"/>
              <w:rPr>
                <w:rFonts w:hint="eastAsia" w:ascii="仿宋" w:hAnsi="仿宋" w:eastAsia="仿宋" w:cs="仿宋"/>
                <w:sz w:val="30"/>
                <w:szCs w:val="30"/>
              </w:rPr>
            </w:pPr>
            <w:r>
              <w:rPr>
                <w:rFonts w:hint="eastAsia" w:ascii="仿宋" w:hAnsi="仿宋" w:eastAsia="仿宋" w:cs="仿宋"/>
                <w:sz w:val="30"/>
                <w:szCs w:val="30"/>
                <w:lang w:bidi="ar"/>
              </w:rPr>
              <w:t>服务流程优化承诺：承诺根据采购人临床使用反馈，持续优化标本收取、转运、检测、报告推送全流程服务，主动接受采购人考核监督。</w:t>
            </w:r>
          </w:p>
        </w:tc>
      </w:tr>
      <w:tr w14:paraId="26745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trPr>
        <w:tc>
          <w:tcPr>
            <w:tcW w:w="1286" w:type="dxa"/>
            <w:vMerge w:val="continue"/>
            <w:tcBorders>
              <w:left w:val="single" w:color="auto" w:sz="4" w:space="0"/>
              <w:right w:val="single" w:color="auto" w:sz="4" w:space="0"/>
            </w:tcBorders>
            <w:vAlign w:val="center"/>
          </w:tcPr>
          <w:p w14:paraId="05A40A2A">
            <w:pPr>
              <w:spacing w:beforeAutospacing="1" w:line="276" w:lineRule="auto"/>
              <w:jc w:val="center"/>
              <w:rPr>
                <w:rFonts w:hint="eastAsia" w:ascii="仿宋" w:hAnsi="仿宋" w:eastAsia="仿宋" w:cs="仿宋"/>
                <w:sz w:val="30"/>
                <w:szCs w:val="30"/>
              </w:rPr>
            </w:pPr>
          </w:p>
        </w:tc>
        <w:tc>
          <w:tcPr>
            <w:tcW w:w="822" w:type="dxa"/>
            <w:tcBorders>
              <w:left w:val="single" w:color="auto" w:sz="4" w:space="0"/>
              <w:right w:val="single" w:color="auto" w:sz="4" w:space="0"/>
            </w:tcBorders>
          </w:tcPr>
          <w:p w14:paraId="744F5564">
            <w:pPr>
              <w:spacing w:beforeAutospacing="1" w:line="276" w:lineRule="auto"/>
              <w:jc w:val="center"/>
              <w:rPr>
                <w:rFonts w:hint="eastAsia" w:ascii="仿宋" w:hAnsi="仿宋" w:eastAsia="仿宋" w:cs="仿宋"/>
                <w:sz w:val="30"/>
                <w:szCs w:val="30"/>
                <w:lang w:bidi="ar"/>
              </w:rPr>
            </w:pPr>
          </w:p>
        </w:tc>
        <w:tc>
          <w:tcPr>
            <w:tcW w:w="889" w:type="dxa"/>
            <w:tcBorders>
              <w:top w:val="single" w:color="auto" w:sz="4" w:space="0"/>
              <w:left w:val="single" w:color="auto" w:sz="4" w:space="0"/>
              <w:bottom w:val="single" w:color="auto" w:sz="4" w:space="0"/>
              <w:right w:val="single" w:color="auto" w:sz="4" w:space="0"/>
            </w:tcBorders>
            <w:vAlign w:val="center"/>
          </w:tcPr>
          <w:p w14:paraId="0126B245">
            <w:pPr>
              <w:spacing w:beforeAutospacing="1" w:line="276" w:lineRule="auto"/>
              <w:jc w:val="center"/>
              <w:rPr>
                <w:rFonts w:hint="eastAsia" w:ascii="仿宋" w:hAnsi="仿宋" w:eastAsia="仿宋" w:cs="仿宋"/>
                <w:sz w:val="30"/>
                <w:szCs w:val="30"/>
              </w:rPr>
            </w:pPr>
            <w:r>
              <w:rPr>
                <w:rFonts w:hint="eastAsia" w:ascii="仿宋" w:hAnsi="仿宋" w:eastAsia="仿宋" w:cs="仿宋"/>
                <w:sz w:val="30"/>
                <w:szCs w:val="30"/>
                <w:lang w:bidi="ar"/>
              </w:rPr>
              <w:t>6.3</w:t>
            </w:r>
          </w:p>
        </w:tc>
        <w:tc>
          <w:tcPr>
            <w:tcW w:w="7381" w:type="dxa"/>
            <w:tcBorders>
              <w:top w:val="single" w:color="auto" w:sz="4" w:space="0"/>
              <w:left w:val="single" w:color="auto" w:sz="4" w:space="0"/>
              <w:bottom w:val="single" w:color="auto" w:sz="4" w:space="0"/>
              <w:right w:val="single" w:color="auto" w:sz="4" w:space="0"/>
            </w:tcBorders>
            <w:vAlign w:val="center"/>
          </w:tcPr>
          <w:p w14:paraId="4491BFB5">
            <w:pPr>
              <w:spacing w:beforeAutospacing="1" w:line="276" w:lineRule="auto"/>
              <w:jc w:val="left"/>
              <w:rPr>
                <w:rFonts w:hint="eastAsia" w:ascii="仿宋" w:hAnsi="仿宋" w:eastAsia="仿宋" w:cs="仿宋"/>
                <w:sz w:val="30"/>
                <w:szCs w:val="30"/>
              </w:rPr>
            </w:pPr>
            <w:r>
              <w:rPr>
                <w:rFonts w:hint="eastAsia" w:ascii="仿宋" w:hAnsi="仿宋" w:eastAsia="仿宋" w:cs="仿宋"/>
                <w:sz w:val="30"/>
                <w:szCs w:val="30"/>
                <w:lang w:bidi="ar"/>
              </w:rPr>
              <w:t>培训与教育：免费为采购人提供常态化培训，包含标本采集规范、保存转运要求、生物安全防护、报告解读、系统操作、院感管理等线上+线下培训及实操指导。</w:t>
            </w:r>
          </w:p>
        </w:tc>
      </w:tr>
      <w:tr w14:paraId="76710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2" w:hRule="atLeast"/>
        </w:trPr>
        <w:tc>
          <w:tcPr>
            <w:tcW w:w="1286" w:type="dxa"/>
            <w:vMerge w:val="continue"/>
            <w:tcBorders>
              <w:left w:val="single" w:color="auto" w:sz="4" w:space="0"/>
              <w:bottom w:val="single" w:color="auto" w:sz="4" w:space="0"/>
              <w:right w:val="single" w:color="auto" w:sz="4" w:space="0"/>
            </w:tcBorders>
            <w:vAlign w:val="center"/>
          </w:tcPr>
          <w:p w14:paraId="58369A2F">
            <w:pPr>
              <w:spacing w:beforeAutospacing="1" w:line="276" w:lineRule="auto"/>
              <w:jc w:val="center"/>
              <w:rPr>
                <w:rFonts w:hint="eastAsia" w:ascii="仿宋" w:hAnsi="仿宋" w:eastAsia="仿宋" w:cs="仿宋"/>
                <w:sz w:val="30"/>
                <w:szCs w:val="30"/>
              </w:rPr>
            </w:pPr>
          </w:p>
        </w:tc>
        <w:tc>
          <w:tcPr>
            <w:tcW w:w="822" w:type="dxa"/>
            <w:tcBorders>
              <w:left w:val="single" w:color="auto" w:sz="4" w:space="0"/>
              <w:bottom w:val="single" w:color="auto" w:sz="4" w:space="0"/>
              <w:right w:val="single" w:color="auto" w:sz="4" w:space="0"/>
            </w:tcBorders>
          </w:tcPr>
          <w:p w14:paraId="6657AED9">
            <w:pPr>
              <w:spacing w:beforeAutospacing="1" w:line="276" w:lineRule="auto"/>
              <w:jc w:val="center"/>
              <w:rPr>
                <w:rFonts w:hint="eastAsia" w:ascii="仿宋" w:hAnsi="仿宋" w:eastAsia="仿宋" w:cs="仿宋"/>
                <w:sz w:val="30"/>
                <w:szCs w:val="30"/>
                <w:lang w:bidi="ar"/>
              </w:rPr>
            </w:pPr>
          </w:p>
        </w:tc>
        <w:tc>
          <w:tcPr>
            <w:tcW w:w="889" w:type="dxa"/>
            <w:tcBorders>
              <w:top w:val="single" w:color="auto" w:sz="4" w:space="0"/>
              <w:left w:val="single" w:color="auto" w:sz="4" w:space="0"/>
              <w:bottom w:val="single" w:color="auto" w:sz="4" w:space="0"/>
              <w:right w:val="single" w:color="auto" w:sz="4" w:space="0"/>
            </w:tcBorders>
            <w:vAlign w:val="center"/>
          </w:tcPr>
          <w:p w14:paraId="41C5D4BE">
            <w:pPr>
              <w:spacing w:beforeAutospacing="1" w:line="276" w:lineRule="auto"/>
              <w:jc w:val="center"/>
              <w:rPr>
                <w:rFonts w:hint="eastAsia" w:ascii="仿宋" w:hAnsi="仿宋" w:eastAsia="仿宋" w:cs="仿宋"/>
                <w:sz w:val="30"/>
                <w:szCs w:val="30"/>
              </w:rPr>
            </w:pPr>
            <w:r>
              <w:rPr>
                <w:rFonts w:hint="eastAsia" w:ascii="仿宋" w:hAnsi="仿宋" w:eastAsia="仿宋" w:cs="仿宋"/>
                <w:sz w:val="30"/>
                <w:szCs w:val="30"/>
                <w:lang w:bidi="ar"/>
              </w:rPr>
              <w:t>6.4</w:t>
            </w:r>
          </w:p>
        </w:tc>
        <w:tc>
          <w:tcPr>
            <w:tcW w:w="7381" w:type="dxa"/>
            <w:tcBorders>
              <w:top w:val="single" w:color="auto" w:sz="4" w:space="0"/>
              <w:left w:val="single" w:color="auto" w:sz="4" w:space="0"/>
              <w:bottom w:val="single" w:color="auto" w:sz="4" w:space="0"/>
              <w:right w:val="single" w:color="auto" w:sz="4" w:space="0"/>
            </w:tcBorders>
            <w:vAlign w:val="center"/>
          </w:tcPr>
          <w:p w14:paraId="5D7F446E">
            <w:pPr>
              <w:spacing w:beforeAutospacing="1" w:line="276" w:lineRule="auto"/>
              <w:jc w:val="left"/>
              <w:rPr>
                <w:rFonts w:hint="eastAsia" w:ascii="仿宋" w:hAnsi="仿宋" w:eastAsia="仿宋" w:cs="仿宋"/>
                <w:sz w:val="30"/>
                <w:szCs w:val="30"/>
              </w:rPr>
            </w:pPr>
            <w:r>
              <w:rPr>
                <w:rFonts w:hint="eastAsia" w:ascii="仿宋" w:hAnsi="仿宋" w:eastAsia="仿宋" w:cs="仿宋"/>
                <w:sz w:val="30"/>
                <w:szCs w:val="30"/>
                <w:lang w:bidi="ar"/>
              </w:rPr>
              <w:t>检验结果科研解释及与医生有效沟通方案：配备专业检验技术团队，为疑难检测结果提供专业解读、科研数据分析支持；建立常态化临床沟通机制，及时解答临床疑问、提供专业技术咨询。</w:t>
            </w:r>
          </w:p>
        </w:tc>
      </w:tr>
      <w:tr w14:paraId="7341C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trPr>
        <w:tc>
          <w:tcPr>
            <w:tcW w:w="1286" w:type="dxa"/>
            <w:vMerge w:val="restart"/>
            <w:tcBorders>
              <w:top w:val="single" w:color="auto" w:sz="4" w:space="0"/>
              <w:left w:val="single" w:color="auto" w:sz="4" w:space="0"/>
              <w:right w:val="single" w:color="auto" w:sz="4" w:space="0"/>
            </w:tcBorders>
            <w:vAlign w:val="center"/>
          </w:tcPr>
          <w:p w14:paraId="6A2A284A">
            <w:pPr>
              <w:spacing w:beforeAutospacing="1" w:line="276" w:lineRule="auto"/>
              <w:jc w:val="left"/>
              <w:rPr>
                <w:rFonts w:hint="eastAsia" w:ascii="仿宋" w:hAnsi="仿宋" w:eastAsia="仿宋" w:cs="仿宋"/>
                <w:sz w:val="30"/>
                <w:szCs w:val="30"/>
                <w:lang w:eastAsia="zh"/>
              </w:rPr>
            </w:pPr>
            <w:r>
              <w:rPr>
                <w:rFonts w:hint="eastAsia" w:ascii="仿宋" w:hAnsi="仿宋" w:eastAsia="仿宋" w:cs="仿宋"/>
                <w:sz w:val="30"/>
                <w:szCs w:val="30"/>
                <w:lang w:eastAsia="zh"/>
              </w:rPr>
              <w:t>7.</w:t>
            </w:r>
            <w:r>
              <w:rPr>
                <w:rFonts w:hint="eastAsia" w:ascii="仿宋" w:hAnsi="仿宋" w:eastAsia="仿宋" w:cs="仿宋"/>
                <w:sz w:val="30"/>
                <w:szCs w:val="30"/>
                <w:lang w:bidi="ar"/>
              </w:rPr>
              <w:t>保密方案要求</w:t>
            </w:r>
          </w:p>
        </w:tc>
        <w:tc>
          <w:tcPr>
            <w:tcW w:w="822" w:type="dxa"/>
            <w:tcBorders>
              <w:top w:val="single" w:color="auto" w:sz="4" w:space="0"/>
              <w:left w:val="single" w:color="auto" w:sz="4" w:space="0"/>
              <w:right w:val="single" w:color="auto" w:sz="4" w:space="0"/>
            </w:tcBorders>
          </w:tcPr>
          <w:p w14:paraId="207E69AA">
            <w:pPr>
              <w:spacing w:beforeAutospacing="1" w:line="276" w:lineRule="auto"/>
              <w:jc w:val="center"/>
              <w:rPr>
                <w:rFonts w:hint="eastAsia" w:ascii="仿宋" w:hAnsi="仿宋" w:eastAsia="仿宋" w:cs="仿宋"/>
                <w:sz w:val="30"/>
                <w:szCs w:val="30"/>
                <w:lang w:bidi="ar"/>
              </w:rPr>
            </w:pPr>
          </w:p>
        </w:tc>
        <w:tc>
          <w:tcPr>
            <w:tcW w:w="889" w:type="dxa"/>
            <w:tcBorders>
              <w:top w:val="single" w:color="auto" w:sz="4" w:space="0"/>
              <w:left w:val="single" w:color="auto" w:sz="4" w:space="0"/>
              <w:bottom w:val="single" w:color="auto" w:sz="4" w:space="0"/>
              <w:right w:val="single" w:color="auto" w:sz="4" w:space="0"/>
            </w:tcBorders>
            <w:vAlign w:val="center"/>
          </w:tcPr>
          <w:p w14:paraId="6E58841C">
            <w:pPr>
              <w:spacing w:beforeAutospacing="1" w:line="276" w:lineRule="auto"/>
              <w:jc w:val="center"/>
              <w:rPr>
                <w:rFonts w:hint="eastAsia" w:ascii="仿宋" w:hAnsi="仿宋" w:eastAsia="仿宋" w:cs="仿宋"/>
                <w:sz w:val="30"/>
                <w:szCs w:val="30"/>
              </w:rPr>
            </w:pPr>
            <w:r>
              <w:rPr>
                <w:rFonts w:hint="eastAsia" w:ascii="仿宋" w:hAnsi="仿宋" w:eastAsia="仿宋" w:cs="仿宋"/>
                <w:sz w:val="30"/>
                <w:szCs w:val="30"/>
                <w:lang w:bidi="ar"/>
              </w:rPr>
              <w:t>7.1</w:t>
            </w:r>
          </w:p>
        </w:tc>
        <w:tc>
          <w:tcPr>
            <w:tcW w:w="7381" w:type="dxa"/>
            <w:tcBorders>
              <w:top w:val="single" w:color="auto" w:sz="4" w:space="0"/>
              <w:left w:val="single" w:color="auto" w:sz="4" w:space="0"/>
              <w:bottom w:val="single" w:color="auto" w:sz="4" w:space="0"/>
              <w:right w:val="single" w:color="auto" w:sz="4" w:space="0"/>
            </w:tcBorders>
            <w:vAlign w:val="center"/>
          </w:tcPr>
          <w:p w14:paraId="54D10F38">
            <w:pPr>
              <w:spacing w:beforeAutospacing="1" w:line="276" w:lineRule="auto"/>
              <w:jc w:val="left"/>
              <w:rPr>
                <w:rFonts w:hint="eastAsia" w:ascii="仿宋" w:hAnsi="仿宋" w:eastAsia="仿宋" w:cs="仿宋"/>
                <w:sz w:val="30"/>
                <w:szCs w:val="30"/>
              </w:rPr>
            </w:pPr>
            <w:r>
              <w:rPr>
                <w:rFonts w:hint="eastAsia" w:ascii="仿宋" w:hAnsi="仿宋" w:eastAsia="仿宋" w:cs="仿宋"/>
                <w:sz w:val="30"/>
                <w:szCs w:val="30"/>
                <w:lang w:bidi="ar"/>
              </w:rPr>
              <w:t>保密管理制度：建立完善患者隐私、标本信息、检测数据、检测报告、科研资料保密管理制度，明确保密范围、责任分工、违规追责机制。</w:t>
            </w:r>
          </w:p>
        </w:tc>
      </w:tr>
      <w:tr w14:paraId="76CAB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trPr>
        <w:tc>
          <w:tcPr>
            <w:tcW w:w="1286" w:type="dxa"/>
            <w:vMerge w:val="continue"/>
            <w:tcBorders>
              <w:left w:val="single" w:color="auto" w:sz="4" w:space="0"/>
              <w:right w:val="single" w:color="auto" w:sz="4" w:space="0"/>
            </w:tcBorders>
            <w:vAlign w:val="center"/>
          </w:tcPr>
          <w:p w14:paraId="3E087DC7">
            <w:pPr>
              <w:spacing w:beforeAutospacing="1" w:line="276" w:lineRule="auto"/>
              <w:jc w:val="center"/>
              <w:rPr>
                <w:rFonts w:hint="eastAsia" w:ascii="仿宋" w:hAnsi="仿宋" w:eastAsia="仿宋" w:cs="仿宋"/>
                <w:sz w:val="30"/>
                <w:szCs w:val="30"/>
              </w:rPr>
            </w:pPr>
          </w:p>
        </w:tc>
        <w:tc>
          <w:tcPr>
            <w:tcW w:w="822" w:type="dxa"/>
            <w:tcBorders>
              <w:left w:val="single" w:color="auto" w:sz="4" w:space="0"/>
              <w:right w:val="single" w:color="auto" w:sz="4" w:space="0"/>
            </w:tcBorders>
          </w:tcPr>
          <w:p w14:paraId="54024FF4">
            <w:pPr>
              <w:spacing w:beforeAutospacing="1" w:line="276" w:lineRule="auto"/>
              <w:jc w:val="center"/>
              <w:rPr>
                <w:rFonts w:hint="eastAsia" w:ascii="仿宋" w:hAnsi="仿宋" w:eastAsia="仿宋" w:cs="仿宋"/>
                <w:sz w:val="30"/>
                <w:szCs w:val="30"/>
                <w:lang w:bidi="ar"/>
              </w:rPr>
            </w:pPr>
          </w:p>
        </w:tc>
        <w:tc>
          <w:tcPr>
            <w:tcW w:w="889" w:type="dxa"/>
            <w:tcBorders>
              <w:top w:val="single" w:color="auto" w:sz="4" w:space="0"/>
              <w:left w:val="single" w:color="auto" w:sz="4" w:space="0"/>
              <w:bottom w:val="single" w:color="auto" w:sz="4" w:space="0"/>
              <w:right w:val="single" w:color="auto" w:sz="4" w:space="0"/>
            </w:tcBorders>
            <w:vAlign w:val="center"/>
          </w:tcPr>
          <w:p w14:paraId="66CE00C0">
            <w:pPr>
              <w:spacing w:beforeAutospacing="1" w:line="276" w:lineRule="auto"/>
              <w:jc w:val="center"/>
              <w:rPr>
                <w:rFonts w:hint="eastAsia" w:ascii="仿宋" w:hAnsi="仿宋" w:eastAsia="仿宋" w:cs="仿宋"/>
                <w:sz w:val="30"/>
                <w:szCs w:val="30"/>
              </w:rPr>
            </w:pPr>
            <w:r>
              <w:rPr>
                <w:rFonts w:hint="eastAsia" w:ascii="仿宋" w:hAnsi="仿宋" w:eastAsia="仿宋" w:cs="仿宋"/>
                <w:sz w:val="30"/>
                <w:szCs w:val="30"/>
                <w:lang w:bidi="ar"/>
              </w:rPr>
              <w:t>7.2</w:t>
            </w:r>
          </w:p>
        </w:tc>
        <w:tc>
          <w:tcPr>
            <w:tcW w:w="7381" w:type="dxa"/>
            <w:tcBorders>
              <w:top w:val="single" w:color="auto" w:sz="4" w:space="0"/>
              <w:left w:val="single" w:color="auto" w:sz="4" w:space="0"/>
              <w:bottom w:val="single" w:color="auto" w:sz="4" w:space="0"/>
              <w:right w:val="single" w:color="auto" w:sz="4" w:space="0"/>
            </w:tcBorders>
            <w:vAlign w:val="center"/>
          </w:tcPr>
          <w:p w14:paraId="07FFAE34">
            <w:pPr>
              <w:spacing w:beforeAutospacing="1" w:line="276" w:lineRule="auto"/>
              <w:jc w:val="left"/>
              <w:rPr>
                <w:rFonts w:hint="eastAsia" w:ascii="仿宋" w:hAnsi="仿宋" w:eastAsia="仿宋" w:cs="仿宋"/>
                <w:sz w:val="30"/>
                <w:szCs w:val="30"/>
              </w:rPr>
            </w:pPr>
            <w:r>
              <w:rPr>
                <w:rFonts w:hint="eastAsia" w:ascii="仿宋" w:hAnsi="仿宋" w:eastAsia="仿宋" w:cs="仿宋"/>
                <w:sz w:val="30"/>
                <w:szCs w:val="30"/>
                <w:lang w:bidi="ar"/>
              </w:rPr>
              <w:t>签署保密协议内容：所有接触涉密信息的管理人员、检测人员、物流人员、售后人员须全员签订保密协议，明确保密义务、保密期限及违约责任。</w:t>
            </w:r>
          </w:p>
        </w:tc>
      </w:tr>
      <w:tr w14:paraId="73BC8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trPr>
        <w:tc>
          <w:tcPr>
            <w:tcW w:w="1286" w:type="dxa"/>
            <w:vMerge w:val="continue"/>
            <w:tcBorders>
              <w:left w:val="single" w:color="auto" w:sz="4" w:space="0"/>
              <w:right w:val="single" w:color="auto" w:sz="4" w:space="0"/>
            </w:tcBorders>
            <w:vAlign w:val="center"/>
          </w:tcPr>
          <w:p w14:paraId="5AA6FE1C">
            <w:pPr>
              <w:spacing w:beforeAutospacing="1" w:line="276" w:lineRule="auto"/>
              <w:jc w:val="center"/>
              <w:rPr>
                <w:rFonts w:hint="eastAsia" w:ascii="仿宋" w:hAnsi="仿宋" w:eastAsia="仿宋" w:cs="仿宋"/>
                <w:sz w:val="30"/>
                <w:szCs w:val="30"/>
              </w:rPr>
            </w:pPr>
          </w:p>
        </w:tc>
        <w:tc>
          <w:tcPr>
            <w:tcW w:w="822" w:type="dxa"/>
            <w:tcBorders>
              <w:left w:val="single" w:color="auto" w:sz="4" w:space="0"/>
              <w:right w:val="single" w:color="auto" w:sz="4" w:space="0"/>
            </w:tcBorders>
          </w:tcPr>
          <w:p w14:paraId="6FDA47DC">
            <w:pPr>
              <w:spacing w:beforeAutospacing="1" w:line="276" w:lineRule="auto"/>
              <w:jc w:val="center"/>
              <w:rPr>
                <w:rFonts w:hint="eastAsia" w:ascii="仿宋" w:hAnsi="仿宋" w:eastAsia="仿宋" w:cs="仿宋"/>
                <w:sz w:val="30"/>
                <w:szCs w:val="30"/>
                <w:lang w:bidi="ar"/>
              </w:rPr>
            </w:pPr>
          </w:p>
        </w:tc>
        <w:tc>
          <w:tcPr>
            <w:tcW w:w="889" w:type="dxa"/>
            <w:tcBorders>
              <w:top w:val="single" w:color="auto" w:sz="4" w:space="0"/>
              <w:left w:val="single" w:color="auto" w:sz="4" w:space="0"/>
              <w:bottom w:val="single" w:color="auto" w:sz="4" w:space="0"/>
              <w:right w:val="single" w:color="auto" w:sz="4" w:space="0"/>
            </w:tcBorders>
            <w:vAlign w:val="center"/>
          </w:tcPr>
          <w:p w14:paraId="536F6917">
            <w:pPr>
              <w:spacing w:beforeAutospacing="1" w:line="276" w:lineRule="auto"/>
              <w:jc w:val="center"/>
              <w:rPr>
                <w:rFonts w:hint="eastAsia" w:ascii="仿宋" w:hAnsi="仿宋" w:eastAsia="仿宋" w:cs="仿宋"/>
                <w:sz w:val="30"/>
                <w:szCs w:val="30"/>
              </w:rPr>
            </w:pPr>
            <w:r>
              <w:rPr>
                <w:rFonts w:hint="eastAsia" w:ascii="仿宋" w:hAnsi="仿宋" w:eastAsia="仿宋" w:cs="仿宋"/>
                <w:sz w:val="30"/>
                <w:szCs w:val="30"/>
                <w:lang w:bidi="ar"/>
              </w:rPr>
              <w:t>7.3</w:t>
            </w:r>
          </w:p>
        </w:tc>
        <w:tc>
          <w:tcPr>
            <w:tcW w:w="7381" w:type="dxa"/>
            <w:tcBorders>
              <w:top w:val="single" w:color="auto" w:sz="4" w:space="0"/>
              <w:left w:val="single" w:color="auto" w:sz="4" w:space="0"/>
              <w:bottom w:val="single" w:color="auto" w:sz="4" w:space="0"/>
              <w:right w:val="single" w:color="auto" w:sz="4" w:space="0"/>
            </w:tcBorders>
            <w:vAlign w:val="center"/>
          </w:tcPr>
          <w:p w14:paraId="741F66ED">
            <w:pPr>
              <w:spacing w:beforeAutospacing="1" w:line="276" w:lineRule="auto"/>
              <w:jc w:val="left"/>
              <w:rPr>
                <w:rFonts w:hint="eastAsia" w:ascii="仿宋" w:hAnsi="仿宋" w:eastAsia="仿宋" w:cs="仿宋"/>
                <w:sz w:val="30"/>
                <w:szCs w:val="30"/>
              </w:rPr>
            </w:pPr>
            <w:r>
              <w:rPr>
                <w:rFonts w:hint="eastAsia" w:ascii="仿宋" w:hAnsi="仿宋" w:eastAsia="仿宋" w:cs="仿宋"/>
                <w:sz w:val="30"/>
                <w:szCs w:val="30"/>
                <w:lang w:bidi="ar"/>
              </w:rPr>
              <w:t>保密培训：定期开展隐私保护、保密法规、信息安全、数据防泄漏专项培训，培训考核合格后方可上岗。</w:t>
            </w:r>
          </w:p>
        </w:tc>
      </w:tr>
      <w:tr w14:paraId="4A6D6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2" w:hRule="atLeast"/>
        </w:trPr>
        <w:tc>
          <w:tcPr>
            <w:tcW w:w="1286" w:type="dxa"/>
            <w:vMerge w:val="continue"/>
            <w:tcBorders>
              <w:left w:val="single" w:color="auto" w:sz="4" w:space="0"/>
              <w:bottom w:val="single" w:color="auto" w:sz="4" w:space="0"/>
              <w:right w:val="single" w:color="auto" w:sz="4" w:space="0"/>
            </w:tcBorders>
            <w:vAlign w:val="center"/>
          </w:tcPr>
          <w:p w14:paraId="23B5AC30">
            <w:pPr>
              <w:spacing w:beforeAutospacing="1" w:line="276" w:lineRule="auto"/>
              <w:jc w:val="center"/>
              <w:rPr>
                <w:rFonts w:hint="eastAsia" w:ascii="仿宋" w:hAnsi="仿宋" w:eastAsia="仿宋" w:cs="仿宋"/>
                <w:sz w:val="30"/>
                <w:szCs w:val="30"/>
              </w:rPr>
            </w:pPr>
          </w:p>
        </w:tc>
        <w:tc>
          <w:tcPr>
            <w:tcW w:w="822" w:type="dxa"/>
            <w:tcBorders>
              <w:left w:val="single" w:color="auto" w:sz="4" w:space="0"/>
              <w:bottom w:val="single" w:color="auto" w:sz="4" w:space="0"/>
              <w:right w:val="single" w:color="auto" w:sz="4" w:space="0"/>
            </w:tcBorders>
          </w:tcPr>
          <w:p w14:paraId="3A98EB77">
            <w:pPr>
              <w:spacing w:beforeAutospacing="1" w:line="276" w:lineRule="auto"/>
              <w:jc w:val="center"/>
              <w:rPr>
                <w:rFonts w:hint="eastAsia" w:ascii="仿宋" w:hAnsi="仿宋" w:eastAsia="仿宋" w:cs="仿宋"/>
                <w:sz w:val="30"/>
                <w:szCs w:val="30"/>
                <w:lang w:bidi="ar"/>
              </w:rPr>
            </w:pPr>
          </w:p>
        </w:tc>
        <w:tc>
          <w:tcPr>
            <w:tcW w:w="889" w:type="dxa"/>
            <w:tcBorders>
              <w:top w:val="single" w:color="auto" w:sz="4" w:space="0"/>
              <w:left w:val="single" w:color="auto" w:sz="4" w:space="0"/>
              <w:bottom w:val="single" w:color="auto" w:sz="4" w:space="0"/>
              <w:right w:val="single" w:color="auto" w:sz="4" w:space="0"/>
            </w:tcBorders>
            <w:vAlign w:val="center"/>
          </w:tcPr>
          <w:p w14:paraId="0B9B75BF">
            <w:pPr>
              <w:spacing w:beforeAutospacing="1" w:line="276" w:lineRule="auto"/>
              <w:jc w:val="center"/>
              <w:rPr>
                <w:rFonts w:hint="eastAsia" w:ascii="仿宋" w:hAnsi="仿宋" w:eastAsia="仿宋" w:cs="仿宋"/>
                <w:sz w:val="30"/>
                <w:szCs w:val="30"/>
              </w:rPr>
            </w:pPr>
            <w:r>
              <w:rPr>
                <w:rFonts w:hint="eastAsia" w:ascii="仿宋" w:hAnsi="仿宋" w:eastAsia="仿宋" w:cs="仿宋"/>
                <w:sz w:val="30"/>
                <w:szCs w:val="30"/>
                <w:lang w:bidi="ar"/>
              </w:rPr>
              <w:t>7.4</w:t>
            </w:r>
          </w:p>
        </w:tc>
        <w:tc>
          <w:tcPr>
            <w:tcW w:w="7381" w:type="dxa"/>
            <w:tcBorders>
              <w:top w:val="single" w:color="auto" w:sz="4" w:space="0"/>
              <w:left w:val="single" w:color="auto" w:sz="4" w:space="0"/>
              <w:bottom w:val="single" w:color="auto" w:sz="4" w:space="0"/>
              <w:right w:val="single" w:color="auto" w:sz="4" w:space="0"/>
            </w:tcBorders>
            <w:vAlign w:val="center"/>
          </w:tcPr>
          <w:p w14:paraId="6600DEBA">
            <w:pPr>
              <w:spacing w:beforeAutospacing="1" w:line="276" w:lineRule="auto"/>
              <w:jc w:val="left"/>
              <w:rPr>
                <w:rFonts w:hint="eastAsia" w:ascii="仿宋" w:hAnsi="仿宋" w:eastAsia="仿宋" w:cs="仿宋"/>
                <w:sz w:val="30"/>
                <w:szCs w:val="30"/>
              </w:rPr>
            </w:pPr>
            <w:r>
              <w:rPr>
                <w:rFonts w:hint="eastAsia" w:ascii="仿宋" w:hAnsi="仿宋" w:eastAsia="仿宋" w:cs="仿宋"/>
                <w:sz w:val="30"/>
                <w:szCs w:val="30"/>
                <w:lang w:bidi="ar"/>
              </w:rPr>
              <w:t>电子信息保密办法：检测系统、数据存储实行分级授权、加密存储、加密传输、操作全程留痕；配置防火墙、数据异地备份、防篡改安全防护措施，严防网络攻击及电子信息外泄。</w:t>
            </w:r>
          </w:p>
        </w:tc>
      </w:tr>
      <w:tr w14:paraId="06D84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2" w:hRule="atLeast"/>
        </w:trPr>
        <w:tc>
          <w:tcPr>
            <w:tcW w:w="1286" w:type="dxa"/>
            <w:vMerge w:val="restart"/>
            <w:tcBorders>
              <w:top w:val="single" w:color="auto" w:sz="4" w:space="0"/>
              <w:left w:val="single" w:color="auto" w:sz="4" w:space="0"/>
              <w:right w:val="single" w:color="auto" w:sz="4" w:space="0"/>
            </w:tcBorders>
            <w:vAlign w:val="center"/>
          </w:tcPr>
          <w:p w14:paraId="61AA088A">
            <w:pPr>
              <w:spacing w:beforeAutospacing="1" w:line="276" w:lineRule="auto"/>
              <w:jc w:val="left"/>
              <w:rPr>
                <w:rFonts w:hint="eastAsia" w:ascii="仿宋" w:hAnsi="仿宋" w:eastAsia="仿宋" w:cs="仿宋"/>
                <w:sz w:val="30"/>
                <w:szCs w:val="30"/>
              </w:rPr>
            </w:pPr>
            <w:r>
              <w:rPr>
                <w:rFonts w:hint="eastAsia" w:ascii="仿宋" w:hAnsi="仿宋" w:eastAsia="仿宋" w:cs="仿宋"/>
                <w:sz w:val="30"/>
                <w:szCs w:val="30"/>
                <w:lang w:eastAsia="zh" w:bidi="ar"/>
              </w:rPr>
              <w:t>8.</w:t>
            </w:r>
            <w:r>
              <w:rPr>
                <w:rFonts w:hint="eastAsia" w:ascii="仿宋" w:hAnsi="仿宋" w:eastAsia="仿宋" w:cs="仿宋"/>
                <w:sz w:val="30"/>
                <w:szCs w:val="30"/>
                <w:lang w:bidi="ar"/>
              </w:rPr>
              <w:t>标本运输专项技术要求</w:t>
            </w:r>
          </w:p>
        </w:tc>
        <w:tc>
          <w:tcPr>
            <w:tcW w:w="822" w:type="dxa"/>
            <w:tcBorders>
              <w:top w:val="single" w:color="auto" w:sz="4" w:space="0"/>
              <w:left w:val="single" w:color="auto" w:sz="4" w:space="0"/>
              <w:right w:val="single" w:color="auto" w:sz="4" w:space="0"/>
            </w:tcBorders>
          </w:tcPr>
          <w:p w14:paraId="3F59FEBD">
            <w:pPr>
              <w:spacing w:beforeAutospacing="1" w:line="276" w:lineRule="auto"/>
              <w:jc w:val="center"/>
              <w:rPr>
                <w:rFonts w:hint="eastAsia" w:ascii="仿宋" w:hAnsi="仿宋" w:eastAsia="仿宋" w:cs="仿宋"/>
                <w:sz w:val="30"/>
                <w:szCs w:val="30"/>
                <w:lang w:bidi="ar"/>
              </w:rPr>
            </w:pPr>
          </w:p>
        </w:tc>
        <w:tc>
          <w:tcPr>
            <w:tcW w:w="889" w:type="dxa"/>
            <w:tcBorders>
              <w:top w:val="single" w:color="auto" w:sz="4" w:space="0"/>
              <w:left w:val="single" w:color="auto" w:sz="4" w:space="0"/>
              <w:bottom w:val="single" w:color="auto" w:sz="4" w:space="0"/>
              <w:right w:val="single" w:color="auto" w:sz="4" w:space="0"/>
            </w:tcBorders>
            <w:vAlign w:val="center"/>
          </w:tcPr>
          <w:p w14:paraId="53167451">
            <w:pPr>
              <w:spacing w:beforeAutospacing="1" w:line="276" w:lineRule="auto"/>
              <w:jc w:val="center"/>
              <w:rPr>
                <w:rFonts w:hint="eastAsia" w:ascii="仿宋" w:hAnsi="仿宋" w:eastAsia="仿宋" w:cs="仿宋"/>
                <w:sz w:val="30"/>
                <w:szCs w:val="30"/>
              </w:rPr>
            </w:pPr>
            <w:r>
              <w:rPr>
                <w:rFonts w:hint="eastAsia" w:ascii="仿宋" w:hAnsi="仿宋" w:eastAsia="仿宋" w:cs="仿宋"/>
                <w:sz w:val="30"/>
                <w:szCs w:val="30"/>
                <w:lang w:bidi="ar"/>
              </w:rPr>
              <w:t>8.1</w:t>
            </w:r>
          </w:p>
        </w:tc>
        <w:tc>
          <w:tcPr>
            <w:tcW w:w="7381" w:type="dxa"/>
            <w:tcBorders>
              <w:top w:val="single" w:color="auto" w:sz="4" w:space="0"/>
              <w:left w:val="single" w:color="auto" w:sz="4" w:space="0"/>
              <w:bottom w:val="single" w:color="auto" w:sz="4" w:space="0"/>
              <w:right w:val="single" w:color="auto" w:sz="4" w:space="0"/>
            </w:tcBorders>
            <w:vAlign w:val="center"/>
          </w:tcPr>
          <w:p w14:paraId="1F792DA1">
            <w:pPr>
              <w:spacing w:beforeAutospacing="1" w:line="276" w:lineRule="auto"/>
              <w:jc w:val="left"/>
              <w:rPr>
                <w:rFonts w:hint="eastAsia" w:ascii="仿宋" w:hAnsi="仿宋" w:eastAsia="仿宋" w:cs="仿宋"/>
                <w:sz w:val="30"/>
                <w:szCs w:val="30"/>
              </w:rPr>
            </w:pPr>
            <w:r>
              <w:rPr>
                <w:rFonts w:hint="eastAsia" w:ascii="仿宋" w:hAnsi="仿宋" w:eastAsia="仿宋" w:cs="仿宋"/>
                <w:sz w:val="30"/>
                <w:szCs w:val="30"/>
                <w:lang w:bidi="ar"/>
              </w:rPr>
              <w:t>冷链箱智能功能要求：投标方所用物流标本箱须具备GPS定位+温度全程实时监控功能，可实现位置及温度全程实时监测、异常报警、历史数据可溯源；须提供相关功能证明、实物图片及系统截图并加盖公章。</w:t>
            </w:r>
          </w:p>
        </w:tc>
      </w:tr>
      <w:tr w14:paraId="7F0ED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trPr>
        <w:tc>
          <w:tcPr>
            <w:tcW w:w="1286" w:type="dxa"/>
            <w:vMerge w:val="continue"/>
            <w:tcBorders>
              <w:left w:val="single" w:color="auto" w:sz="4" w:space="0"/>
              <w:right w:val="single" w:color="auto" w:sz="4" w:space="0"/>
            </w:tcBorders>
            <w:vAlign w:val="center"/>
          </w:tcPr>
          <w:p w14:paraId="329D1F3A">
            <w:pPr>
              <w:spacing w:beforeAutospacing="1" w:line="276" w:lineRule="auto"/>
              <w:jc w:val="center"/>
              <w:rPr>
                <w:rFonts w:hint="eastAsia" w:ascii="仿宋" w:hAnsi="仿宋" w:eastAsia="仿宋" w:cs="仿宋"/>
                <w:sz w:val="30"/>
                <w:szCs w:val="30"/>
              </w:rPr>
            </w:pPr>
          </w:p>
        </w:tc>
        <w:tc>
          <w:tcPr>
            <w:tcW w:w="822" w:type="dxa"/>
            <w:tcBorders>
              <w:left w:val="single" w:color="auto" w:sz="4" w:space="0"/>
              <w:right w:val="single" w:color="auto" w:sz="4" w:space="0"/>
            </w:tcBorders>
          </w:tcPr>
          <w:p w14:paraId="44589ADB">
            <w:pPr>
              <w:spacing w:beforeAutospacing="1" w:line="276" w:lineRule="auto"/>
              <w:jc w:val="center"/>
              <w:rPr>
                <w:rFonts w:hint="eastAsia" w:ascii="仿宋" w:hAnsi="仿宋" w:eastAsia="仿宋" w:cs="仿宋"/>
                <w:sz w:val="30"/>
                <w:szCs w:val="30"/>
                <w:lang w:bidi="ar"/>
              </w:rPr>
            </w:pPr>
          </w:p>
        </w:tc>
        <w:tc>
          <w:tcPr>
            <w:tcW w:w="889" w:type="dxa"/>
            <w:tcBorders>
              <w:top w:val="single" w:color="auto" w:sz="4" w:space="0"/>
              <w:left w:val="single" w:color="auto" w:sz="4" w:space="0"/>
              <w:bottom w:val="single" w:color="auto" w:sz="4" w:space="0"/>
              <w:right w:val="single" w:color="auto" w:sz="4" w:space="0"/>
            </w:tcBorders>
            <w:vAlign w:val="center"/>
          </w:tcPr>
          <w:p w14:paraId="50C3B362">
            <w:pPr>
              <w:spacing w:beforeAutospacing="1" w:line="276" w:lineRule="auto"/>
              <w:jc w:val="center"/>
              <w:rPr>
                <w:rFonts w:hint="eastAsia" w:ascii="仿宋" w:hAnsi="仿宋" w:eastAsia="仿宋" w:cs="仿宋"/>
                <w:sz w:val="30"/>
                <w:szCs w:val="30"/>
              </w:rPr>
            </w:pPr>
            <w:r>
              <w:rPr>
                <w:rFonts w:hint="eastAsia" w:ascii="仿宋" w:hAnsi="仿宋" w:eastAsia="仿宋" w:cs="仿宋"/>
                <w:sz w:val="30"/>
                <w:szCs w:val="30"/>
                <w:lang w:bidi="ar"/>
              </w:rPr>
              <w:t>8.2</w:t>
            </w:r>
          </w:p>
        </w:tc>
        <w:tc>
          <w:tcPr>
            <w:tcW w:w="7381" w:type="dxa"/>
            <w:tcBorders>
              <w:top w:val="single" w:color="auto" w:sz="4" w:space="0"/>
              <w:left w:val="single" w:color="auto" w:sz="4" w:space="0"/>
              <w:bottom w:val="single" w:color="auto" w:sz="4" w:space="0"/>
              <w:right w:val="single" w:color="auto" w:sz="4" w:space="0"/>
            </w:tcBorders>
            <w:vAlign w:val="center"/>
          </w:tcPr>
          <w:p w14:paraId="7EC5A318">
            <w:pPr>
              <w:spacing w:beforeAutospacing="1" w:line="276" w:lineRule="auto"/>
              <w:jc w:val="left"/>
              <w:rPr>
                <w:rFonts w:hint="eastAsia" w:ascii="仿宋" w:hAnsi="仿宋" w:eastAsia="仿宋" w:cs="仿宋"/>
                <w:sz w:val="30"/>
                <w:szCs w:val="30"/>
              </w:rPr>
            </w:pPr>
            <w:r>
              <w:rPr>
                <w:rFonts w:hint="eastAsia" w:ascii="仿宋" w:hAnsi="仿宋" w:eastAsia="仿宋" w:cs="仿宋"/>
                <w:sz w:val="30"/>
                <w:szCs w:val="30"/>
                <w:lang w:bidi="ar"/>
              </w:rPr>
              <w:t>道路运输资质要求：投标人须具备有效《道路运输经营许可证》及匹配的专用标本运输车辆；须提供行驶证、道路运输经营许可证复印件并加盖公章。</w:t>
            </w:r>
          </w:p>
        </w:tc>
      </w:tr>
      <w:tr w14:paraId="0B305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trPr>
        <w:tc>
          <w:tcPr>
            <w:tcW w:w="1286" w:type="dxa"/>
            <w:vMerge w:val="continue"/>
            <w:tcBorders>
              <w:left w:val="single" w:color="auto" w:sz="4" w:space="0"/>
              <w:right w:val="single" w:color="auto" w:sz="4" w:space="0"/>
            </w:tcBorders>
            <w:vAlign w:val="center"/>
          </w:tcPr>
          <w:p w14:paraId="76626172">
            <w:pPr>
              <w:spacing w:beforeAutospacing="1" w:line="276" w:lineRule="auto"/>
              <w:jc w:val="center"/>
              <w:rPr>
                <w:rFonts w:hint="eastAsia" w:ascii="仿宋" w:hAnsi="仿宋" w:eastAsia="仿宋" w:cs="仿宋"/>
                <w:sz w:val="30"/>
                <w:szCs w:val="30"/>
              </w:rPr>
            </w:pPr>
          </w:p>
        </w:tc>
        <w:tc>
          <w:tcPr>
            <w:tcW w:w="822" w:type="dxa"/>
            <w:tcBorders>
              <w:left w:val="single" w:color="auto" w:sz="4" w:space="0"/>
              <w:right w:val="single" w:color="auto" w:sz="4" w:space="0"/>
            </w:tcBorders>
          </w:tcPr>
          <w:p w14:paraId="3A77EDD1">
            <w:pPr>
              <w:spacing w:beforeAutospacing="1" w:line="276" w:lineRule="auto"/>
              <w:jc w:val="center"/>
              <w:rPr>
                <w:rFonts w:hint="eastAsia" w:ascii="仿宋" w:hAnsi="仿宋" w:eastAsia="仿宋" w:cs="仿宋"/>
                <w:sz w:val="30"/>
                <w:szCs w:val="30"/>
                <w:lang w:bidi="ar"/>
              </w:rPr>
            </w:pPr>
          </w:p>
        </w:tc>
        <w:tc>
          <w:tcPr>
            <w:tcW w:w="889" w:type="dxa"/>
            <w:tcBorders>
              <w:top w:val="single" w:color="auto" w:sz="4" w:space="0"/>
              <w:left w:val="single" w:color="auto" w:sz="4" w:space="0"/>
              <w:bottom w:val="single" w:color="auto" w:sz="4" w:space="0"/>
              <w:right w:val="single" w:color="auto" w:sz="4" w:space="0"/>
            </w:tcBorders>
            <w:vAlign w:val="center"/>
          </w:tcPr>
          <w:p w14:paraId="3741383E">
            <w:pPr>
              <w:spacing w:beforeAutospacing="1" w:line="276" w:lineRule="auto"/>
              <w:jc w:val="center"/>
              <w:rPr>
                <w:rFonts w:hint="eastAsia" w:ascii="仿宋" w:hAnsi="仿宋" w:eastAsia="仿宋" w:cs="仿宋"/>
                <w:sz w:val="30"/>
                <w:szCs w:val="30"/>
              </w:rPr>
            </w:pPr>
            <w:r>
              <w:rPr>
                <w:rFonts w:hint="eastAsia" w:ascii="仿宋" w:hAnsi="仿宋" w:eastAsia="仿宋" w:cs="仿宋"/>
                <w:sz w:val="30"/>
                <w:szCs w:val="30"/>
                <w:lang w:bidi="ar"/>
              </w:rPr>
              <w:t>8.3</w:t>
            </w:r>
          </w:p>
        </w:tc>
        <w:tc>
          <w:tcPr>
            <w:tcW w:w="7381" w:type="dxa"/>
            <w:tcBorders>
              <w:top w:val="single" w:color="auto" w:sz="4" w:space="0"/>
              <w:left w:val="single" w:color="auto" w:sz="4" w:space="0"/>
              <w:bottom w:val="single" w:color="auto" w:sz="4" w:space="0"/>
              <w:right w:val="single" w:color="auto" w:sz="4" w:space="0"/>
            </w:tcBorders>
            <w:vAlign w:val="center"/>
          </w:tcPr>
          <w:p w14:paraId="5C1776AB">
            <w:pPr>
              <w:spacing w:beforeAutospacing="1" w:line="276" w:lineRule="auto"/>
              <w:jc w:val="left"/>
              <w:rPr>
                <w:rFonts w:hint="eastAsia" w:ascii="仿宋" w:hAnsi="仿宋" w:eastAsia="仿宋" w:cs="仿宋"/>
                <w:sz w:val="30"/>
                <w:szCs w:val="30"/>
              </w:rPr>
            </w:pPr>
            <w:r>
              <w:rPr>
                <w:rFonts w:hint="eastAsia" w:ascii="仿宋" w:hAnsi="仿宋" w:eastAsia="仿宋" w:cs="仿宋"/>
                <w:sz w:val="30"/>
                <w:szCs w:val="30"/>
                <w:lang w:bidi="ar"/>
              </w:rPr>
              <w:t>国标达标资质要求：投标人须为GB/T42186-2022《医学检验生物样本冷链物流运作规范》国家标准达标企业，并提供有效证明文件。</w:t>
            </w:r>
          </w:p>
        </w:tc>
      </w:tr>
      <w:tr w14:paraId="04488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2" w:hRule="atLeast"/>
        </w:trPr>
        <w:tc>
          <w:tcPr>
            <w:tcW w:w="1286" w:type="dxa"/>
            <w:vMerge w:val="continue"/>
            <w:tcBorders>
              <w:left w:val="single" w:color="auto" w:sz="4" w:space="0"/>
              <w:bottom w:val="single" w:color="auto" w:sz="4" w:space="0"/>
              <w:right w:val="single" w:color="auto" w:sz="4" w:space="0"/>
            </w:tcBorders>
            <w:vAlign w:val="center"/>
          </w:tcPr>
          <w:p w14:paraId="58916B34">
            <w:pPr>
              <w:spacing w:beforeAutospacing="1" w:line="276" w:lineRule="auto"/>
              <w:jc w:val="center"/>
              <w:rPr>
                <w:rFonts w:hint="eastAsia" w:ascii="仿宋" w:hAnsi="仿宋" w:eastAsia="仿宋" w:cs="仿宋"/>
                <w:sz w:val="30"/>
                <w:szCs w:val="30"/>
              </w:rPr>
            </w:pPr>
          </w:p>
        </w:tc>
        <w:tc>
          <w:tcPr>
            <w:tcW w:w="822" w:type="dxa"/>
            <w:tcBorders>
              <w:left w:val="single" w:color="auto" w:sz="4" w:space="0"/>
              <w:bottom w:val="single" w:color="auto" w:sz="4" w:space="0"/>
              <w:right w:val="single" w:color="auto" w:sz="4" w:space="0"/>
            </w:tcBorders>
          </w:tcPr>
          <w:p w14:paraId="4A168EC7">
            <w:pPr>
              <w:spacing w:beforeAutospacing="1" w:line="276" w:lineRule="auto"/>
              <w:jc w:val="center"/>
              <w:rPr>
                <w:rFonts w:hint="eastAsia" w:ascii="仿宋" w:hAnsi="仿宋" w:eastAsia="仿宋" w:cs="仿宋"/>
                <w:sz w:val="30"/>
                <w:szCs w:val="30"/>
                <w:lang w:bidi="ar"/>
              </w:rPr>
            </w:pPr>
          </w:p>
        </w:tc>
        <w:tc>
          <w:tcPr>
            <w:tcW w:w="889" w:type="dxa"/>
            <w:tcBorders>
              <w:top w:val="single" w:color="auto" w:sz="4" w:space="0"/>
              <w:left w:val="single" w:color="auto" w:sz="4" w:space="0"/>
              <w:bottom w:val="single" w:color="auto" w:sz="4" w:space="0"/>
              <w:right w:val="single" w:color="auto" w:sz="4" w:space="0"/>
            </w:tcBorders>
            <w:vAlign w:val="center"/>
          </w:tcPr>
          <w:p w14:paraId="5DCA8201">
            <w:pPr>
              <w:spacing w:beforeAutospacing="1" w:line="276" w:lineRule="auto"/>
              <w:jc w:val="center"/>
              <w:rPr>
                <w:rFonts w:hint="eastAsia" w:ascii="仿宋" w:hAnsi="仿宋" w:eastAsia="仿宋" w:cs="仿宋"/>
                <w:sz w:val="30"/>
                <w:szCs w:val="30"/>
              </w:rPr>
            </w:pPr>
            <w:r>
              <w:rPr>
                <w:rFonts w:hint="eastAsia" w:ascii="仿宋" w:hAnsi="仿宋" w:eastAsia="仿宋" w:cs="仿宋"/>
                <w:sz w:val="30"/>
                <w:szCs w:val="30"/>
                <w:lang w:bidi="ar"/>
              </w:rPr>
              <w:t>8.4</w:t>
            </w:r>
          </w:p>
        </w:tc>
        <w:tc>
          <w:tcPr>
            <w:tcW w:w="7381" w:type="dxa"/>
            <w:tcBorders>
              <w:top w:val="single" w:color="auto" w:sz="4" w:space="0"/>
              <w:left w:val="single" w:color="auto" w:sz="4" w:space="0"/>
              <w:bottom w:val="single" w:color="auto" w:sz="4" w:space="0"/>
              <w:right w:val="single" w:color="auto" w:sz="4" w:space="0"/>
            </w:tcBorders>
            <w:vAlign w:val="center"/>
          </w:tcPr>
          <w:p w14:paraId="3CEA5195">
            <w:pPr>
              <w:spacing w:beforeAutospacing="1" w:line="276" w:lineRule="auto"/>
              <w:jc w:val="left"/>
              <w:rPr>
                <w:rFonts w:hint="eastAsia" w:ascii="仿宋" w:hAnsi="仿宋" w:eastAsia="仿宋" w:cs="仿宋"/>
                <w:sz w:val="30"/>
                <w:szCs w:val="30"/>
              </w:rPr>
            </w:pPr>
            <w:r>
              <w:rPr>
                <w:rFonts w:hint="eastAsia" w:ascii="仿宋" w:hAnsi="仿宋" w:eastAsia="仿宋" w:cs="仿宋"/>
                <w:sz w:val="30"/>
                <w:szCs w:val="30"/>
                <w:lang w:bidi="ar"/>
              </w:rPr>
              <w:t>标本管理与物流服务：标本采集、标本收取、标本冷链转运、交接签收、物流人员培训、异常情况处置等全部内容；投标文件须附运输专用容器实物图片、全程电子监控系统截图及文字说明，全部加盖公章。</w:t>
            </w:r>
          </w:p>
        </w:tc>
      </w:tr>
      <w:tr w14:paraId="44EB9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trPr>
        <w:tc>
          <w:tcPr>
            <w:tcW w:w="1286" w:type="dxa"/>
            <w:vMerge w:val="restart"/>
            <w:tcBorders>
              <w:top w:val="single" w:color="auto" w:sz="4" w:space="0"/>
              <w:left w:val="single" w:color="auto" w:sz="4" w:space="0"/>
              <w:right w:val="single" w:color="auto" w:sz="4" w:space="0"/>
            </w:tcBorders>
            <w:vAlign w:val="center"/>
          </w:tcPr>
          <w:p w14:paraId="6D51B196">
            <w:pPr>
              <w:spacing w:beforeAutospacing="1" w:line="276" w:lineRule="auto"/>
              <w:jc w:val="left"/>
              <w:rPr>
                <w:rFonts w:hint="eastAsia" w:ascii="仿宋" w:hAnsi="仿宋" w:eastAsia="仿宋" w:cs="仿宋"/>
                <w:sz w:val="30"/>
                <w:szCs w:val="30"/>
                <w:lang w:eastAsia="zh"/>
              </w:rPr>
            </w:pPr>
            <w:r>
              <w:rPr>
                <w:rFonts w:hint="eastAsia" w:ascii="仿宋" w:hAnsi="仿宋" w:eastAsia="仿宋" w:cs="仿宋"/>
                <w:sz w:val="30"/>
                <w:szCs w:val="30"/>
                <w:lang w:eastAsia="zh"/>
              </w:rPr>
              <w:t>9.</w:t>
            </w:r>
            <w:r>
              <w:rPr>
                <w:rFonts w:hint="eastAsia" w:ascii="仿宋" w:hAnsi="仿宋" w:eastAsia="仿宋" w:cs="仿宋"/>
                <w:color w:val="000000"/>
                <w:sz w:val="30"/>
                <w:szCs w:val="30"/>
                <w:lang w:bidi="ar"/>
              </w:rPr>
              <w:t>商务资质、业绩及实力</w:t>
            </w:r>
          </w:p>
        </w:tc>
        <w:tc>
          <w:tcPr>
            <w:tcW w:w="822" w:type="dxa"/>
            <w:tcBorders>
              <w:top w:val="single" w:color="auto" w:sz="4" w:space="0"/>
              <w:left w:val="single" w:color="auto" w:sz="4" w:space="0"/>
              <w:right w:val="single" w:color="auto" w:sz="4" w:space="0"/>
            </w:tcBorders>
          </w:tcPr>
          <w:p w14:paraId="127531BC">
            <w:pPr>
              <w:spacing w:beforeAutospacing="1" w:line="276" w:lineRule="auto"/>
              <w:jc w:val="center"/>
              <w:rPr>
                <w:rFonts w:hint="eastAsia" w:ascii="仿宋" w:hAnsi="仿宋" w:eastAsia="仿宋" w:cs="仿宋"/>
                <w:sz w:val="30"/>
                <w:szCs w:val="30"/>
                <w:lang w:bidi="ar"/>
              </w:rPr>
            </w:pPr>
          </w:p>
        </w:tc>
        <w:tc>
          <w:tcPr>
            <w:tcW w:w="889" w:type="dxa"/>
            <w:tcBorders>
              <w:top w:val="single" w:color="auto" w:sz="4" w:space="0"/>
              <w:left w:val="single" w:color="auto" w:sz="4" w:space="0"/>
              <w:bottom w:val="single" w:color="auto" w:sz="4" w:space="0"/>
              <w:right w:val="single" w:color="auto" w:sz="4" w:space="0"/>
            </w:tcBorders>
            <w:vAlign w:val="center"/>
          </w:tcPr>
          <w:p w14:paraId="7216BDE0">
            <w:pPr>
              <w:spacing w:beforeAutospacing="1" w:line="276" w:lineRule="auto"/>
              <w:jc w:val="center"/>
              <w:rPr>
                <w:rFonts w:hint="eastAsia" w:ascii="仿宋" w:hAnsi="仿宋" w:eastAsia="仿宋" w:cs="仿宋"/>
                <w:sz w:val="30"/>
                <w:szCs w:val="30"/>
              </w:rPr>
            </w:pPr>
            <w:r>
              <w:rPr>
                <w:rFonts w:hint="eastAsia" w:ascii="仿宋" w:hAnsi="仿宋" w:eastAsia="仿宋" w:cs="仿宋"/>
                <w:sz w:val="30"/>
                <w:szCs w:val="30"/>
                <w:lang w:bidi="ar"/>
              </w:rPr>
              <w:t>9.1</w:t>
            </w:r>
          </w:p>
        </w:tc>
        <w:tc>
          <w:tcPr>
            <w:tcW w:w="7381" w:type="dxa"/>
            <w:tcBorders>
              <w:top w:val="single" w:color="auto" w:sz="4" w:space="0"/>
              <w:left w:val="single" w:color="auto" w:sz="4" w:space="0"/>
              <w:bottom w:val="single" w:color="auto" w:sz="4" w:space="0"/>
              <w:right w:val="single" w:color="auto" w:sz="4" w:space="0"/>
            </w:tcBorders>
            <w:vAlign w:val="center"/>
          </w:tcPr>
          <w:p w14:paraId="6D7F3A46">
            <w:pPr>
              <w:spacing w:beforeAutospacing="1" w:line="276" w:lineRule="auto"/>
              <w:jc w:val="left"/>
              <w:rPr>
                <w:rFonts w:hint="eastAsia" w:ascii="仿宋" w:hAnsi="仿宋" w:eastAsia="仿宋" w:cs="仿宋"/>
                <w:color w:val="000000"/>
                <w:sz w:val="30"/>
                <w:szCs w:val="30"/>
              </w:rPr>
            </w:pPr>
            <w:r>
              <w:rPr>
                <w:rFonts w:hint="eastAsia" w:ascii="仿宋" w:hAnsi="仿宋" w:eastAsia="仿宋" w:cs="仿宋"/>
                <w:color w:val="000000"/>
                <w:sz w:val="30"/>
                <w:szCs w:val="30"/>
                <w:lang w:bidi="ar"/>
              </w:rPr>
              <w:t>项目业绩：投标人近三年（自投标截止时间倒算）须具有同类检验标本外送检测服务项目业绩。</w:t>
            </w:r>
          </w:p>
        </w:tc>
      </w:tr>
      <w:tr w14:paraId="7815F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2" w:hRule="atLeast"/>
        </w:trPr>
        <w:tc>
          <w:tcPr>
            <w:tcW w:w="1286" w:type="dxa"/>
            <w:vMerge w:val="continue"/>
            <w:tcBorders>
              <w:left w:val="single" w:color="auto" w:sz="4" w:space="0"/>
              <w:right w:val="single" w:color="auto" w:sz="4" w:space="0"/>
            </w:tcBorders>
            <w:vAlign w:val="center"/>
          </w:tcPr>
          <w:p w14:paraId="1C4E0776">
            <w:pPr>
              <w:spacing w:beforeAutospacing="1" w:line="276" w:lineRule="auto"/>
              <w:jc w:val="left"/>
              <w:rPr>
                <w:rFonts w:hint="eastAsia" w:ascii="仿宋" w:hAnsi="仿宋" w:eastAsia="仿宋" w:cs="仿宋"/>
                <w:sz w:val="30"/>
                <w:szCs w:val="30"/>
                <w:lang w:eastAsia="zh"/>
              </w:rPr>
            </w:pPr>
          </w:p>
        </w:tc>
        <w:tc>
          <w:tcPr>
            <w:tcW w:w="822" w:type="dxa"/>
            <w:tcBorders>
              <w:left w:val="single" w:color="auto" w:sz="4" w:space="0"/>
              <w:right w:val="single" w:color="auto" w:sz="4" w:space="0"/>
            </w:tcBorders>
          </w:tcPr>
          <w:p w14:paraId="1E75E0C6">
            <w:pPr>
              <w:spacing w:beforeAutospacing="1" w:line="276" w:lineRule="auto"/>
              <w:jc w:val="center"/>
              <w:rPr>
                <w:rFonts w:hint="eastAsia" w:ascii="仿宋" w:hAnsi="仿宋" w:eastAsia="仿宋" w:cs="仿宋"/>
                <w:sz w:val="30"/>
                <w:szCs w:val="30"/>
                <w:lang w:bidi="ar"/>
              </w:rPr>
            </w:pPr>
          </w:p>
        </w:tc>
        <w:tc>
          <w:tcPr>
            <w:tcW w:w="889" w:type="dxa"/>
            <w:tcBorders>
              <w:top w:val="single" w:color="auto" w:sz="4" w:space="0"/>
              <w:left w:val="single" w:color="auto" w:sz="4" w:space="0"/>
              <w:bottom w:val="single" w:color="auto" w:sz="4" w:space="0"/>
              <w:right w:val="single" w:color="auto" w:sz="4" w:space="0"/>
            </w:tcBorders>
            <w:vAlign w:val="center"/>
          </w:tcPr>
          <w:p w14:paraId="78810970">
            <w:pPr>
              <w:spacing w:beforeAutospacing="1" w:line="276" w:lineRule="auto"/>
              <w:jc w:val="center"/>
              <w:rPr>
                <w:rFonts w:hint="eastAsia" w:ascii="仿宋" w:hAnsi="仿宋" w:eastAsia="仿宋" w:cs="仿宋"/>
                <w:sz w:val="30"/>
                <w:szCs w:val="30"/>
                <w:lang w:bidi="ar"/>
              </w:rPr>
            </w:pPr>
            <w:r>
              <w:rPr>
                <w:rFonts w:hint="eastAsia" w:ascii="仿宋" w:hAnsi="仿宋" w:eastAsia="仿宋" w:cs="仿宋"/>
                <w:sz w:val="30"/>
                <w:szCs w:val="30"/>
                <w:lang w:bidi="ar"/>
              </w:rPr>
              <w:t>9.2</w:t>
            </w:r>
          </w:p>
        </w:tc>
        <w:tc>
          <w:tcPr>
            <w:tcW w:w="7381" w:type="dxa"/>
            <w:tcBorders>
              <w:top w:val="single" w:color="auto" w:sz="4" w:space="0"/>
              <w:left w:val="single" w:color="auto" w:sz="4" w:space="0"/>
              <w:bottom w:val="single" w:color="auto" w:sz="4" w:space="0"/>
              <w:right w:val="single" w:color="auto" w:sz="4" w:space="0"/>
            </w:tcBorders>
            <w:vAlign w:val="center"/>
          </w:tcPr>
          <w:p w14:paraId="09540A26">
            <w:pPr>
              <w:spacing w:beforeAutospacing="1" w:line="276" w:lineRule="auto"/>
              <w:jc w:val="left"/>
              <w:rPr>
                <w:rFonts w:hint="eastAsia" w:ascii="仿宋" w:hAnsi="仿宋" w:eastAsia="仿宋" w:cs="仿宋"/>
                <w:color w:val="000000"/>
                <w:sz w:val="30"/>
                <w:szCs w:val="30"/>
                <w:lang w:bidi="ar"/>
              </w:rPr>
            </w:pPr>
            <w:r>
              <w:rPr>
                <w:rFonts w:hint="eastAsia" w:ascii="仿宋" w:hAnsi="仿宋" w:eastAsia="仿宋" w:cs="仿宋"/>
                <w:color w:val="000000"/>
                <w:sz w:val="30"/>
                <w:szCs w:val="30"/>
                <w:lang w:bidi="ar"/>
              </w:rPr>
              <w:t>具备国家卫生健康委员会部门（原国家卫生计生委医政医管局）颁发的肿瘤诊断与治疗项目高通量基因测序技术临床应用试点单位；技术专家入选医用高通量测序标准化技术归口单位成员名单。</w:t>
            </w:r>
          </w:p>
        </w:tc>
      </w:tr>
      <w:tr w14:paraId="3A52F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2" w:hRule="atLeast"/>
        </w:trPr>
        <w:tc>
          <w:tcPr>
            <w:tcW w:w="1286" w:type="dxa"/>
            <w:vMerge w:val="continue"/>
            <w:tcBorders>
              <w:left w:val="single" w:color="auto" w:sz="4" w:space="0"/>
              <w:bottom w:val="single" w:color="auto" w:sz="4" w:space="0"/>
              <w:right w:val="single" w:color="auto" w:sz="4" w:space="0"/>
            </w:tcBorders>
            <w:vAlign w:val="center"/>
          </w:tcPr>
          <w:p w14:paraId="7E72FA39">
            <w:pPr>
              <w:spacing w:beforeAutospacing="1" w:line="276" w:lineRule="auto"/>
              <w:jc w:val="center"/>
              <w:rPr>
                <w:rFonts w:hint="eastAsia" w:ascii="仿宋" w:hAnsi="仿宋" w:eastAsia="仿宋" w:cs="仿宋"/>
                <w:sz w:val="30"/>
                <w:szCs w:val="30"/>
              </w:rPr>
            </w:pPr>
          </w:p>
        </w:tc>
        <w:tc>
          <w:tcPr>
            <w:tcW w:w="822" w:type="dxa"/>
            <w:tcBorders>
              <w:left w:val="single" w:color="auto" w:sz="4" w:space="0"/>
              <w:bottom w:val="single" w:color="auto" w:sz="4" w:space="0"/>
              <w:right w:val="single" w:color="auto" w:sz="4" w:space="0"/>
            </w:tcBorders>
          </w:tcPr>
          <w:p w14:paraId="569E7266">
            <w:pPr>
              <w:spacing w:beforeAutospacing="1" w:line="276" w:lineRule="auto"/>
              <w:jc w:val="center"/>
              <w:rPr>
                <w:rFonts w:hint="eastAsia" w:ascii="仿宋" w:hAnsi="仿宋" w:eastAsia="仿宋" w:cs="仿宋"/>
                <w:sz w:val="30"/>
                <w:szCs w:val="30"/>
                <w:lang w:bidi="ar"/>
              </w:rPr>
            </w:pPr>
          </w:p>
        </w:tc>
        <w:tc>
          <w:tcPr>
            <w:tcW w:w="889" w:type="dxa"/>
            <w:tcBorders>
              <w:top w:val="single" w:color="auto" w:sz="4" w:space="0"/>
              <w:left w:val="single" w:color="auto" w:sz="4" w:space="0"/>
              <w:bottom w:val="single" w:color="auto" w:sz="4" w:space="0"/>
              <w:right w:val="single" w:color="auto" w:sz="4" w:space="0"/>
            </w:tcBorders>
            <w:vAlign w:val="center"/>
          </w:tcPr>
          <w:p w14:paraId="1BF660CF">
            <w:pPr>
              <w:spacing w:beforeAutospacing="1" w:line="276" w:lineRule="auto"/>
              <w:jc w:val="center"/>
              <w:rPr>
                <w:rFonts w:hint="eastAsia" w:ascii="仿宋" w:hAnsi="仿宋" w:eastAsia="仿宋" w:cs="仿宋"/>
                <w:sz w:val="30"/>
                <w:szCs w:val="30"/>
              </w:rPr>
            </w:pPr>
            <w:r>
              <w:rPr>
                <w:rFonts w:hint="eastAsia" w:ascii="仿宋" w:hAnsi="仿宋" w:eastAsia="仿宋" w:cs="仿宋"/>
                <w:sz w:val="30"/>
                <w:szCs w:val="30"/>
                <w:lang w:bidi="ar"/>
              </w:rPr>
              <w:t>9.3</w:t>
            </w:r>
          </w:p>
        </w:tc>
        <w:tc>
          <w:tcPr>
            <w:tcW w:w="7381" w:type="dxa"/>
            <w:tcBorders>
              <w:top w:val="single" w:color="auto" w:sz="4" w:space="0"/>
              <w:left w:val="single" w:color="auto" w:sz="4" w:space="0"/>
              <w:bottom w:val="single" w:color="auto" w:sz="4" w:space="0"/>
              <w:right w:val="single" w:color="auto" w:sz="4" w:space="0"/>
            </w:tcBorders>
            <w:vAlign w:val="center"/>
          </w:tcPr>
          <w:p w14:paraId="55ECA1AA">
            <w:pPr>
              <w:jc w:val="left"/>
              <w:rPr>
                <w:rFonts w:hint="eastAsia" w:ascii="仿宋" w:hAnsi="仿宋" w:eastAsia="仿宋" w:cs="仿宋"/>
                <w:sz w:val="30"/>
                <w:szCs w:val="30"/>
                <w:lang w:bidi="ar"/>
              </w:rPr>
            </w:pPr>
            <w:r>
              <w:rPr>
                <w:rFonts w:hint="eastAsia" w:ascii="仿宋" w:hAnsi="仿宋" w:eastAsia="仿宋" w:cs="仿宋"/>
                <w:sz w:val="30"/>
                <w:szCs w:val="30"/>
                <w:lang w:bidi="ar"/>
              </w:rPr>
              <w:t>实验室及企业实力认证：</w:t>
            </w:r>
          </w:p>
          <w:p w14:paraId="7202E6FF">
            <w:pPr>
              <w:jc w:val="left"/>
              <w:rPr>
                <w:rFonts w:hint="eastAsia" w:ascii="仿宋" w:hAnsi="仿宋" w:eastAsia="仿宋" w:cs="仿宋"/>
                <w:sz w:val="30"/>
                <w:szCs w:val="30"/>
              </w:rPr>
            </w:pPr>
            <w:r>
              <w:rPr>
                <w:rFonts w:hint="eastAsia" w:ascii="仿宋" w:hAnsi="仿宋" w:eastAsia="仿宋" w:cs="仿宋"/>
                <w:sz w:val="30"/>
                <w:szCs w:val="30"/>
                <w:lang w:bidi="ar"/>
              </w:rPr>
              <w:t>供应商实验室具备有效期内P2实验室能力认证证书；</w:t>
            </w:r>
          </w:p>
          <w:p w14:paraId="7464C895">
            <w:pPr>
              <w:jc w:val="left"/>
              <w:rPr>
                <w:rFonts w:hint="eastAsia" w:ascii="仿宋" w:hAnsi="仿宋" w:eastAsia="仿宋" w:cs="仿宋"/>
                <w:sz w:val="30"/>
                <w:szCs w:val="30"/>
              </w:rPr>
            </w:pPr>
            <w:r>
              <w:rPr>
                <w:rFonts w:hint="eastAsia" w:ascii="仿宋" w:hAnsi="仿宋" w:eastAsia="仿宋" w:cs="仿宋"/>
                <w:sz w:val="30"/>
                <w:szCs w:val="30"/>
                <w:lang w:bidi="ar"/>
              </w:rPr>
              <w:t>供应商具备检验ISO 15189质量管理体系认证证书；</w:t>
            </w:r>
          </w:p>
          <w:p w14:paraId="596FF762">
            <w:pPr>
              <w:jc w:val="left"/>
              <w:rPr>
                <w:rFonts w:hint="eastAsia" w:ascii="仿宋" w:hAnsi="仿宋" w:eastAsia="仿宋" w:cs="仿宋"/>
                <w:sz w:val="30"/>
                <w:szCs w:val="30"/>
              </w:rPr>
            </w:pPr>
            <w:r>
              <w:rPr>
                <w:rFonts w:hint="eastAsia" w:ascii="仿宋" w:hAnsi="仿宋" w:eastAsia="仿宋" w:cs="仿宋"/>
                <w:sz w:val="30"/>
                <w:szCs w:val="30"/>
                <w:lang w:bidi="ar"/>
              </w:rPr>
              <w:t>供应商具备3A及以上信用评级证书，提供原件扫描件；</w:t>
            </w:r>
          </w:p>
          <w:p w14:paraId="37726329">
            <w:pPr>
              <w:jc w:val="left"/>
              <w:rPr>
                <w:rFonts w:hint="eastAsia" w:ascii="仿宋" w:hAnsi="仿宋" w:eastAsia="仿宋" w:cs="仿宋"/>
                <w:sz w:val="30"/>
                <w:szCs w:val="30"/>
              </w:rPr>
            </w:pPr>
            <w:r>
              <w:rPr>
                <w:rFonts w:hint="eastAsia" w:ascii="仿宋" w:hAnsi="仿宋" w:eastAsia="仿宋" w:cs="仿宋"/>
                <w:sz w:val="30"/>
                <w:szCs w:val="30"/>
                <w:lang w:bidi="ar"/>
              </w:rPr>
              <w:t>若涉及临床基因扩增或测序项目，供应商须具备临床基因扩增检验实验室（PCR）技术验收合格资质，为项目实质性准入条件。</w:t>
            </w:r>
          </w:p>
        </w:tc>
      </w:tr>
      <w:tr w14:paraId="45FD7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trPr>
        <w:tc>
          <w:tcPr>
            <w:tcW w:w="1286" w:type="dxa"/>
            <w:vMerge w:val="restart"/>
            <w:tcBorders>
              <w:top w:val="single" w:color="auto" w:sz="4" w:space="0"/>
              <w:left w:val="single" w:color="auto" w:sz="4" w:space="0"/>
              <w:right w:val="single" w:color="auto" w:sz="4" w:space="0"/>
            </w:tcBorders>
            <w:vAlign w:val="center"/>
          </w:tcPr>
          <w:p w14:paraId="1D284DC5">
            <w:pPr>
              <w:spacing w:beforeAutospacing="1" w:line="276" w:lineRule="auto"/>
              <w:jc w:val="center"/>
              <w:rPr>
                <w:rFonts w:hint="eastAsia" w:ascii="仿宋" w:hAnsi="仿宋" w:eastAsia="仿宋" w:cs="仿宋"/>
                <w:sz w:val="30"/>
                <w:szCs w:val="30"/>
                <w:lang w:eastAsia="zh"/>
              </w:rPr>
            </w:pPr>
            <w:r>
              <w:rPr>
                <w:rFonts w:hint="eastAsia" w:ascii="仿宋" w:hAnsi="仿宋" w:eastAsia="仿宋" w:cs="仿宋"/>
                <w:sz w:val="30"/>
                <w:szCs w:val="30"/>
                <w:lang w:eastAsia="zh"/>
              </w:rPr>
              <w:t>10.</w:t>
            </w:r>
            <w:r>
              <w:rPr>
                <w:rFonts w:hint="eastAsia" w:ascii="仿宋" w:hAnsi="仿宋" w:eastAsia="仿宋" w:cs="仿宋"/>
                <w:sz w:val="30"/>
                <w:szCs w:val="30"/>
                <w:lang w:bidi="ar"/>
              </w:rPr>
              <w:t>其他实质性服务要求</w:t>
            </w:r>
          </w:p>
        </w:tc>
        <w:tc>
          <w:tcPr>
            <w:tcW w:w="822" w:type="dxa"/>
            <w:tcBorders>
              <w:top w:val="single" w:color="auto" w:sz="4" w:space="0"/>
              <w:left w:val="single" w:color="auto" w:sz="4" w:space="0"/>
              <w:right w:val="single" w:color="auto" w:sz="4" w:space="0"/>
            </w:tcBorders>
          </w:tcPr>
          <w:p w14:paraId="2C107E59">
            <w:pPr>
              <w:spacing w:beforeAutospacing="1" w:line="276" w:lineRule="auto"/>
              <w:jc w:val="center"/>
              <w:rPr>
                <w:rFonts w:hint="eastAsia" w:ascii="仿宋" w:hAnsi="仿宋" w:eastAsia="仿宋" w:cs="仿宋"/>
                <w:sz w:val="30"/>
                <w:szCs w:val="30"/>
                <w:lang w:bidi="ar"/>
              </w:rPr>
            </w:pPr>
          </w:p>
        </w:tc>
        <w:tc>
          <w:tcPr>
            <w:tcW w:w="889" w:type="dxa"/>
            <w:tcBorders>
              <w:top w:val="single" w:color="auto" w:sz="4" w:space="0"/>
              <w:left w:val="single" w:color="auto" w:sz="4" w:space="0"/>
              <w:bottom w:val="single" w:color="auto" w:sz="4" w:space="0"/>
              <w:right w:val="single" w:color="auto" w:sz="4" w:space="0"/>
            </w:tcBorders>
            <w:vAlign w:val="center"/>
          </w:tcPr>
          <w:p w14:paraId="2E3C4CF1">
            <w:pPr>
              <w:spacing w:beforeAutospacing="1" w:line="276" w:lineRule="auto"/>
              <w:jc w:val="center"/>
              <w:rPr>
                <w:rFonts w:hint="eastAsia" w:ascii="仿宋" w:hAnsi="仿宋" w:eastAsia="仿宋" w:cs="仿宋"/>
                <w:sz w:val="30"/>
                <w:szCs w:val="30"/>
              </w:rPr>
            </w:pPr>
            <w:r>
              <w:rPr>
                <w:rFonts w:hint="eastAsia" w:ascii="仿宋" w:hAnsi="仿宋" w:eastAsia="仿宋" w:cs="仿宋"/>
                <w:sz w:val="30"/>
                <w:szCs w:val="30"/>
                <w:lang w:bidi="ar"/>
              </w:rPr>
              <w:t>10.1</w:t>
            </w:r>
          </w:p>
        </w:tc>
        <w:tc>
          <w:tcPr>
            <w:tcW w:w="7381" w:type="dxa"/>
            <w:tcBorders>
              <w:top w:val="single" w:color="auto" w:sz="4" w:space="0"/>
              <w:left w:val="single" w:color="auto" w:sz="4" w:space="0"/>
              <w:bottom w:val="single" w:color="auto" w:sz="4" w:space="0"/>
              <w:right w:val="single" w:color="auto" w:sz="4" w:space="0"/>
            </w:tcBorders>
            <w:vAlign w:val="center"/>
          </w:tcPr>
          <w:p w14:paraId="5A60933D">
            <w:pPr>
              <w:spacing w:beforeAutospacing="1" w:line="276" w:lineRule="auto"/>
              <w:jc w:val="left"/>
              <w:rPr>
                <w:rFonts w:hint="eastAsia" w:ascii="仿宋" w:hAnsi="仿宋" w:eastAsia="仿宋" w:cs="仿宋"/>
                <w:sz w:val="30"/>
                <w:szCs w:val="30"/>
              </w:rPr>
            </w:pPr>
            <w:r>
              <w:rPr>
                <w:rFonts w:hint="eastAsia" w:ascii="仿宋" w:hAnsi="仿宋" w:eastAsia="仿宋" w:cs="仿宋"/>
                <w:sz w:val="30"/>
                <w:szCs w:val="30"/>
                <w:lang w:bidi="ar"/>
              </w:rPr>
              <w:t>中标人免费提供本项目所需标本采集耗材、存放容器、申请单、标识标签等配套物资，所有耗材符合医疗器械合规要求。</w:t>
            </w:r>
          </w:p>
        </w:tc>
      </w:tr>
      <w:tr w14:paraId="762D5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trPr>
        <w:tc>
          <w:tcPr>
            <w:tcW w:w="1286" w:type="dxa"/>
            <w:vMerge w:val="continue"/>
            <w:tcBorders>
              <w:left w:val="single" w:color="auto" w:sz="4" w:space="0"/>
              <w:right w:val="single" w:color="auto" w:sz="4" w:space="0"/>
            </w:tcBorders>
            <w:vAlign w:val="center"/>
          </w:tcPr>
          <w:p w14:paraId="2788469C">
            <w:pPr>
              <w:spacing w:beforeAutospacing="1" w:line="276" w:lineRule="auto"/>
              <w:jc w:val="center"/>
              <w:rPr>
                <w:rFonts w:hint="eastAsia" w:ascii="仿宋" w:hAnsi="仿宋" w:eastAsia="仿宋" w:cs="仿宋"/>
                <w:sz w:val="30"/>
                <w:szCs w:val="30"/>
              </w:rPr>
            </w:pPr>
          </w:p>
        </w:tc>
        <w:tc>
          <w:tcPr>
            <w:tcW w:w="822" w:type="dxa"/>
            <w:tcBorders>
              <w:left w:val="single" w:color="auto" w:sz="4" w:space="0"/>
              <w:right w:val="single" w:color="auto" w:sz="4" w:space="0"/>
            </w:tcBorders>
          </w:tcPr>
          <w:p w14:paraId="1C2624E3">
            <w:pPr>
              <w:spacing w:beforeAutospacing="1" w:line="276" w:lineRule="auto"/>
              <w:jc w:val="center"/>
              <w:rPr>
                <w:rFonts w:hint="eastAsia" w:ascii="仿宋" w:hAnsi="仿宋" w:eastAsia="仿宋" w:cs="仿宋"/>
                <w:sz w:val="30"/>
                <w:szCs w:val="30"/>
                <w:lang w:bidi="ar"/>
              </w:rPr>
            </w:pPr>
          </w:p>
        </w:tc>
        <w:tc>
          <w:tcPr>
            <w:tcW w:w="889" w:type="dxa"/>
            <w:tcBorders>
              <w:top w:val="single" w:color="auto" w:sz="4" w:space="0"/>
              <w:left w:val="single" w:color="auto" w:sz="4" w:space="0"/>
              <w:bottom w:val="single" w:color="auto" w:sz="4" w:space="0"/>
              <w:right w:val="single" w:color="auto" w:sz="4" w:space="0"/>
            </w:tcBorders>
            <w:vAlign w:val="center"/>
          </w:tcPr>
          <w:p w14:paraId="32099C26">
            <w:pPr>
              <w:spacing w:beforeAutospacing="1" w:line="276" w:lineRule="auto"/>
              <w:jc w:val="center"/>
              <w:rPr>
                <w:rFonts w:hint="eastAsia" w:ascii="仿宋" w:hAnsi="仿宋" w:eastAsia="仿宋" w:cs="仿宋"/>
                <w:sz w:val="30"/>
                <w:szCs w:val="30"/>
              </w:rPr>
            </w:pPr>
            <w:r>
              <w:rPr>
                <w:rFonts w:hint="eastAsia" w:ascii="仿宋" w:hAnsi="仿宋" w:eastAsia="仿宋" w:cs="仿宋"/>
                <w:sz w:val="30"/>
                <w:szCs w:val="30"/>
                <w:lang w:bidi="ar"/>
              </w:rPr>
              <w:t>10.2</w:t>
            </w:r>
          </w:p>
        </w:tc>
        <w:tc>
          <w:tcPr>
            <w:tcW w:w="7381" w:type="dxa"/>
            <w:tcBorders>
              <w:top w:val="single" w:color="auto" w:sz="4" w:space="0"/>
              <w:left w:val="single" w:color="auto" w:sz="4" w:space="0"/>
              <w:bottom w:val="single" w:color="auto" w:sz="4" w:space="0"/>
              <w:right w:val="single" w:color="auto" w:sz="4" w:space="0"/>
            </w:tcBorders>
            <w:vAlign w:val="center"/>
          </w:tcPr>
          <w:p w14:paraId="35B8309A">
            <w:pPr>
              <w:spacing w:beforeAutospacing="1" w:line="276" w:lineRule="auto"/>
              <w:jc w:val="left"/>
              <w:rPr>
                <w:rFonts w:hint="eastAsia" w:ascii="仿宋" w:hAnsi="仿宋" w:eastAsia="仿宋" w:cs="仿宋"/>
                <w:sz w:val="30"/>
                <w:szCs w:val="30"/>
              </w:rPr>
            </w:pPr>
            <w:r>
              <w:rPr>
                <w:rFonts w:hint="eastAsia" w:ascii="仿宋" w:hAnsi="仿宋" w:eastAsia="仿宋" w:cs="仿宋"/>
                <w:sz w:val="30"/>
                <w:szCs w:val="30"/>
                <w:lang w:bidi="ar"/>
              </w:rPr>
              <w:t>中标人须无条件免费配合采购人现有HIS/LIS系统接口对接，实现标本信息、检测报告双向互联互通，不得收取任何对接及运维费用。</w:t>
            </w:r>
          </w:p>
        </w:tc>
      </w:tr>
      <w:tr w14:paraId="71A47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trPr>
        <w:tc>
          <w:tcPr>
            <w:tcW w:w="1286" w:type="dxa"/>
            <w:vMerge w:val="continue"/>
            <w:tcBorders>
              <w:left w:val="single" w:color="auto" w:sz="4" w:space="0"/>
              <w:right w:val="single" w:color="auto" w:sz="4" w:space="0"/>
            </w:tcBorders>
            <w:vAlign w:val="center"/>
          </w:tcPr>
          <w:p w14:paraId="43CD2CB4">
            <w:pPr>
              <w:spacing w:beforeAutospacing="1" w:line="276" w:lineRule="auto"/>
              <w:jc w:val="center"/>
              <w:rPr>
                <w:rFonts w:hint="eastAsia" w:ascii="仿宋" w:hAnsi="仿宋" w:eastAsia="仿宋" w:cs="仿宋"/>
                <w:sz w:val="30"/>
                <w:szCs w:val="30"/>
              </w:rPr>
            </w:pPr>
          </w:p>
        </w:tc>
        <w:tc>
          <w:tcPr>
            <w:tcW w:w="822" w:type="dxa"/>
            <w:tcBorders>
              <w:left w:val="single" w:color="auto" w:sz="4" w:space="0"/>
              <w:right w:val="single" w:color="auto" w:sz="4" w:space="0"/>
            </w:tcBorders>
          </w:tcPr>
          <w:p w14:paraId="0A609CA3">
            <w:pPr>
              <w:spacing w:beforeAutospacing="1" w:line="276" w:lineRule="auto"/>
              <w:jc w:val="center"/>
              <w:rPr>
                <w:rFonts w:hint="eastAsia" w:ascii="仿宋" w:hAnsi="仿宋" w:eastAsia="仿宋" w:cs="仿宋"/>
                <w:sz w:val="30"/>
                <w:szCs w:val="30"/>
                <w:lang w:bidi="ar"/>
              </w:rPr>
            </w:pPr>
          </w:p>
        </w:tc>
        <w:tc>
          <w:tcPr>
            <w:tcW w:w="889" w:type="dxa"/>
            <w:tcBorders>
              <w:top w:val="single" w:color="auto" w:sz="4" w:space="0"/>
              <w:left w:val="single" w:color="auto" w:sz="4" w:space="0"/>
              <w:bottom w:val="single" w:color="auto" w:sz="4" w:space="0"/>
              <w:right w:val="single" w:color="auto" w:sz="4" w:space="0"/>
            </w:tcBorders>
            <w:vAlign w:val="center"/>
          </w:tcPr>
          <w:p w14:paraId="3138C6D7">
            <w:pPr>
              <w:spacing w:beforeAutospacing="1" w:line="276" w:lineRule="auto"/>
              <w:jc w:val="center"/>
              <w:rPr>
                <w:rFonts w:hint="eastAsia" w:ascii="仿宋" w:hAnsi="仿宋" w:eastAsia="仿宋" w:cs="仿宋"/>
                <w:sz w:val="30"/>
                <w:szCs w:val="30"/>
              </w:rPr>
            </w:pPr>
            <w:r>
              <w:rPr>
                <w:rFonts w:hint="eastAsia" w:ascii="仿宋" w:hAnsi="仿宋" w:eastAsia="仿宋" w:cs="仿宋"/>
                <w:sz w:val="30"/>
                <w:szCs w:val="30"/>
                <w:lang w:bidi="ar"/>
              </w:rPr>
              <w:t>10.3</w:t>
            </w:r>
          </w:p>
        </w:tc>
        <w:tc>
          <w:tcPr>
            <w:tcW w:w="7381" w:type="dxa"/>
            <w:tcBorders>
              <w:top w:val="single" w:color="auto" w:sz="4" w:space="0"/>
              <w:left w:val="single" w:color="auto" w:sz="4" w:space="0"/>
              <w:bottom w:val="single" w:color="auto" w:sz="4" w:space="0"/>
              <w:right w:val="single" w:color="auto" w:sz="4" w:space="0"/>
            </w:tcBorders>
            <w:vAlign w:val="center"/>
          </w:tcPr>
          <w:p w14:paraId="6A30EA96">
            <w:pPr>
              <w:spacing w:beforeAutospacing="1" w:line="276" w:lineRule="auto"/>
              <w:jc w:val="left"/>
              <w:rPr>
                <w:rFonts w:hint="eastAsia" w:ascii="仿宋" w:hAnsi="仿宋" w:eastAsia="仿宋" w:cs="仿宋"/>
                <w:sz w:val="30"/>
                <w:szCs w:val="30"/>
              </w:rPr>
            </w:pPr>
            <w:r>
              <w:rPr>
                <w:rFonts w:hint="eastAsia" w:ascii="仿宋" w:hAnsi="仿宋" w:eastAsia="仿宋" w:cs="仿宋"/>
                <w:sz w:val="30"/>
                <w:szCs w:val="30"/>
                <w:lang w:bidi="ar"/>
              </w:rPr>
              <w:t>因检测失误、操作不规范、标本管理不当、信息泄露等造成医疗纠纷、经济损失及不良影响，全部责任及损失由中标人承担。</w:t>
            </w:r>
          </w:p>
        </w:tc>
      </w:tr>
      <w:tr w14:paraId="77522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trPr>
        <w:tc>
          <w:tcPr>
            <w:tcW w:w="1286" w:type="dxa"/>
            <w:vMerge w:val="continue"/>
            <w:tcBorders>
              <w:left w:val="single" w:color="auto" w:sz="4" w:space="0"/>
              <w:right w:val="single" w:color="auto" w:sz="4" w:space="0"/>
            </w:tcBorders>
            <w:vAlign w:val="center"/>
          </w:tcPr>
          <w:p w14:paraId="4E6D490B">
            <w:pPr>
              <w:spacing w:beforeAutospacing="1" w:line="276" w:lineRule="auto"/>
              <w:jc w:val="center"/>
              <w:rPr>
                <w:rFonts w:hint="eastAsia" w:ascii="仿宋" w:hAnsi="仿宋" w:eastAsia="仿宋" w:cs="仿宋"/>
                <w:sz w:val="30"/>
                <w:szCs w:val="30"/>
              </w:rPr>
            </w:pPr>
          </w:p>
        </w:tc>
        <w:tc>
          <w:tcPr>
            <w:tcW w:w="822" w:type="dxa"/>
            <w:tcBorders>
              <w:left w:val="single" w:color="auto" w:sz="4" w:space="0"/>
              <w:right w:val="single" w:color="auto" w:sz="4" w:space="0"/>
            </w:tcBorders>
          </w:tcPr>
          <w:p w14:paraId="599DDAA0">
            <w:pPr>
              <w:spacing w:beforeAutospacing="1" w:line="276" w:lineRule="auto"/>
              <w:jc w:val="center"/>
              <w:rPr>
                <w:rFonts w:hint="eastAsia" w:ascii="仿宋" w:hAnsi="仿宋" w:eastAsia="仿宋" w:cs="仿宋"/>
                <w:sz w:val="30"/>
                <w:szCs w:val="30"/>
                <w:lang w:bidi="ar"/>
              </w:rPr>
            </w:pPr>
          </w:p>
        </w:tc>
        <w:tc>
          <w:tcPr>
            <w:tcW w:w="889" w:type="dxa"/>
            <w:tcBorders>
              <w:top w:val="single" w:color="auto" w:sz="4" w:space="0"/>
              <w:left w:val="single" w:color="auto" w:sz="4" w:space="0"/>
              <w:bottom w:val="single" w:color="auto" w:sz="4" w:space="0"/>
              <w:right w:val="single" w:color="auto" w:sz="4" w:space="0"/>
            </w:tcBorders>
            <w:vAlign w:val="center"/>
          </w:tcPr>
          <w:p w14:paraId="5198018A">
            <w:pPr>
              <w:spacing w:beforeAutospacing="1" w:line="276" w:lineRule="auto"/>
              <w:jc w:val="center"/>
              <w:rPr>
                <w:rFonts w:hint="eastAsia" w:ascii="仿宋" w:hAnsi="仿宋" w:eastAsia="仿宋" w:cs="仿宋"/>
                <w:sz w:val="30"/>
                <w:szCs w:val="30"/>
              </w:rPr>
            </w:pPr>
            <w:r>
              <w:rPr>
                <w:rFonts w:hint="eastAsia" w:ascii="仿宋" w:hAnsi="仿宋" w:eastAsia="仿宋" w:cs="仿宋"/>
                <w:sz w:val="30"/>
                <w:szCs w:val="30"/>
                <w:lang w:bidi="ar"/>
              </w:rPr>
              <w:t>10.4</w:t>
            </w:r>
          </w:p>
        </w:tc>
        <w:tc>
          <w:tcPr>
            <w:tcW w:w="7381" w:type="dxa"/>
            <w:tcBorders>
              <w:top w:val="single" w:color="auto" w:sz="4" w:space="0"/>
              <w:left w:val="single" w:color="auto" w:sz="4" w:space="0"/>
              <w:bottom w:val="single" w:color="auto" w:sz="4" w:space="0"/>
              <w:right w:val="single" w:color="auto" w:sz="4" w:space="0"/>
            </w:tcBorders>
            <w:vAlign w:val="center"/>
          </w:tcPr>
          <w:p w14:paraId="4F7FDD1B">
            <w:pPr>
              <w:spacing w:beforeAutospacing="1" w:line="276" w:lineRule="auto"/>
              <w:jc w:val="left"/>
              <w:rPr>
                <w:rFonts w:hint="eastAsia" w:ascii="仿宋" w:hAnsi="仿宋" w:eastAsia="仿宋" w:cs="仿宋"/>
                <w:sz w:val="30"/>
                <w:szCs w:val="30"/>
              </w:rPr>
            </w:pPr>
            <w:r>
              <w:rPr>
                <w:rFonts w:hint="eastAsia" w:ascii="仿宋" w:hAnsi="仿宋" w:eastAsia="仿宋" w:cs="仿宋"/>
                <w:sz w:val="30"/>
                <w:szCs w:val="30"/>
                <w:lang w:bidi="ar"/>
              </w:rPr>
              <w:t>中标人须接受采购人日常考核、月度/季度服务考评，考评不合格按合同约定进行扣款、整改，拒不整改采购人有权终止合同。</w:t>
            </w:r>
          </w:p>
        </w:tc>
      </w:tr>
      <w:tr w14:paraId="0B365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trPr>
        <w:tc>
          <w:tcPr>
            <w:tcW w:w="1286" w:type="dxa"/>
            <w:vMerge w:val="continue"/>
            <w:tcBorders>
              <w:left w:val="single" w:color="auto" w:sz="4" w:space="0"/>
              <w:right w:val="single" w:color="auto" w:sz="4" w:space="0"/>
            </w:tcBorders>
            <w:vAlign w:val="center"/>
          </w:tcPr>
          <w:p w14:paraId="2530BADC">
            <w:pPr>
              <w:spacing w:beforeAutospacing="1" w:line="276" w:lineRule="auto"/>
              <w:jc w:val="center"/>
              <w:rPr>
                <w:rFonts w:hint="eastAsia" w:ascii="仿宋" w:hAnsi="仿宋" w:eastAsia="仿宋" w:cs="仿宋"/>
                <w:sz w:val="30"/>
                <w:szCs w:val="30"/>
              </w:rPr>
            </w:pPr>
          </w:p>
        </w:tc>
        <w:tc>
          <w:tcPr>
            <w:tcW w:w="822" w:type="dxa"/>
            <w:tcBorders>
              <w:left w:val="single" w:color="auto" w:sz="4" w:space="0"/>
              <w:right w:val="single" w:color="auto" w:sz="4" w:space="0"/>
            </w:tcBorders>
          </w:tcPr>
          <w:p w14:paraId="7B64EACC">
            <w:pPr>
              <w:spacing w:beforeAutospacing="1" w:line="276" w:lineRule="auto"/>
              <w:jc w:val="center"/>
              <w:rPr>
                <w:rFonts w:hint="eastAsia" w:ascii="仿宋" w:hAnsi="仿宋" w:eastAsia="仿宋" w:cs="仿宋"/>
                <w:sz w:val="30"/>
                <w:szCs w:val="30"/>
                <w:lang w:bidi="ar"/>
              </w:rPr>
            </w:pPr>
          </w:p>
        </w:tc>
        <w:tc>
          <w:tcPr>
            <w:tcW w:w="889" w:type="dxa"/>
            <w:tcBorders>
              <w:top w:val="single" w:color="auto" w:sz="4" w:space="0"/>
              <w:left w:val="single" w:color="auto" w:sz="4" w:space="0"/>
              <w:bottom w:val="single" w:color="auto" w:sz="4" w:space="0"/>
              <w:right w:val="single" w:color="auto" w:sz="4" w:space="0"/>
            </w:tcBorders>
            <w:vAlign w:val="center"/>
          </w:tcPr>
          <w:p w14:paraId="597D572C">
            <w:pPr>
              <w:spacing w:beforeAutospacing="1" w:line="276" w:lineRule="auto"/>
              <w:jc w:val="center"/>
              <w:rPr>
                <w:rFonts w:hint="eastAsia" w:ascii="仿宋" w:hAnsi="仿宋" w:eastAsia="仿宋" w:cs="仿宋"/>
                <w:sz w:val="30"/>
                <w:szCs w:val="30"/>
                <w:lang w:bidi="ar"/>
              </w:rPr>
            </w:pPr>
            <w:r>
              <w:rPr>
                <w:rFonts w:hint="eastAsia" w:ascii="仿宋" w:hAnsi="仿宋" w:eastAsia="仿宋" w:cs="仿宋"/>
                <w:sz w:val="30"/>
                <w:szCs w:val="30"/>
                <w:lang w:bidi="ar"/>
              </w:rPr>
              <w:t>10.5</w:t>
            </w:r>
          </w:p>
        </w:tc>
        <w:tc>
          <w:tcPr>
            <w:tcW w:w="7381" w:type="dxa"/>
            <w:tcBorders>
              <w:top w:val="single" w:color="auto" w:sz="4" w:space="0"/>
              <w:left w:val="single" w:color="auto" w:sz="4" w:space="0"/>
              <w:bottom w:val="single" w:color="auto" w:sz="4" w:space="0"/>
              <w:right w:val="single" w:color="auto" w:sz="4" w:space="0"/>
            </w:tcBorders>
            <w:vAlign w:val="center"/>
          </w:tcPr>
          <w:p w14:paraId="3886173D">
            <w:pPr>
              <w:spacing w:beforeAutospacing="1" w:line="276" w:lineRule="auto"/>
              <w:jc w:val="left"/>
              <w:rPr>
                <w:rFonts w:hint="eastAsia" w:ascii="仿宋" w:hAnsi="仿宋" w:eastAsia="仿宋" w:cs="仿宋"/>
                <w:sz w:val="30"/>
                <w:szCs w:val="30"/>
                <w:lang w:bidi="ar"/>
              </w:rPr>
            </w:pPr>
            <w:r>
              <w:rPr>
                <w:rFonts w:hint="eastAsia" w:ascii="仿宋" w:hAnsi="仿宋" w:eastAsia="仿宋" w:cs="仿宋"/>
                <w:sz w:val="30"/>
                <w:szCs w:val="30"/>
                <w:lang w:bidi="ar"/>
              </w:rPr>
              <w:t>特殊标本：提供临时加急服务，需提供具体方案及报告出具时限。</w:t>
            </w:r>
          </w:p>
        </w:tc>
      </w:tr>
      <w:tr w14:paraId="5420A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trPr>
        <w:tc>
          <w:tcPr>
            <w:tcW w:w="1286" w:type="dxa"/>
            <w:tcBorders>
              <w:left w:val="single" w:color="auto" w:sz="4" w:space="0"/>
              <w:right w:val="single" w:color="auto" w:sz="4" w:space="0"/>
            </w:tcBorders>
            <w:vAlign w:val="center"/>
          </w:tcPr>
          <w:p w14:paraId="71850986">
            <w:pPr>
              <w:spacing w:beforeAutospacing="1" w:line="276" w:lineRule="auto"/>
              <w:jc w:val="center"/>
              <w:rPr>
                <w:rFonts w:hint="eastAsia" w:ascii="仿宋" w:hAnsi="仿宋" w:eastAsia="仿宋" w:cs="仿宋"/>
                <w:sz w:val="30"/>
                <w:szCs w:val="30"/>
              </w:rPr>
            </w:pPr>
          </w:p>
        </w:tc>
        <w:tc>
          <w:tcPr>
            <w:tcW w:w="822" w:type="dxa"/>
            <w:tcBorders>
              <w:left w:val="single" w:color="auto" w:sz="4" w:space="0"/>
              <w:right w:val="single" w:color="auto" w:sz="4" w:space="0"/>
            </w:tcBorders>
          </w:tcPr>
          <w:p w14:paraId="17CB6067">
            <w:pPr>
              <w:spacing w:beforeAutospacing="1" w:line="276" w:lineRule="auto"/>
              <w:jc w:val="center"/>
              <w:rPr>
                <w:rFonts w:hint="eastAsia" w:ascii="仿宋" w:hAnsi="仿宋" w:eastAsia="仿宋" w:cs="仿宋"/>
                <w:sz w:val="30"/>
                <w:szCs w:val="30"/>
                <w:lang w:bidi="ar"/>
              </w:rPr>
            </w:pPr>
            <w:r>
              <w:rPr>
                <w:rFonts w:ascii="仿宋" w:hAnsi="仿宋" w:eastAsia="仿宋" w:cs="仿宋"/>
                <w:sz w:val="30"/>
                <w:szCs w:val="30"/>
                <w:lang w:bidi="ar"/>
              </w:rPr>
              <w:t>★</w:t>
            </w:r>
          </w:p>
        </w:tc>
        <w:tc>
          <w:tcPr>
            <w:tcW w:w="889" w:type="dxa"/>
            <w:tcBorders>
              <w:top w:val="single" w:color="auto" w:sz="4" w:space="0"/>
              <w:left w:val="single" w:color="auto" w:sz="4" w:space="0"/>
              <w:bottom w:val="single" w:color="auto" w:sz="4" w:space="0"/>
              <w:right w:val="single" w:color="auto" w:sz="4" w:space="0"/>
            </w:tcBorders>
            <w:vAlign w:val="center"/>
          </w:tcPr>
          <w:p w14:paraId="703E19AB">
            <w:pPr>
              <w:spacing w:beforeAutospacing="1" w:line="276" w:lineRule="auto"/>
              <w:jc w:val="center"/>
              <w:rPr>
                <w:rFonts w:hint="eastAsia" w:ascii="仿宋" w:hAnsi="仿宋" w:eastAsia="仿宋" w:cs="仿宋"/>
                <w:sz w:val="30"/>
                <w:szCs w:val="30"/>
                <w:lang w:bidi="ar"/>
              </w:rPr>
            </w:pPr>
            <w:r>
              <w:rPr>
                <w:rFonts w:hint="eastAsia" w:ascii="仿宋" w:hAnsi="仿宋" w:eastAsia="仿宋" w:cs="仿宋"/>
                <w:sz w:val="30"/>
                <w:szCs w:val="30"/>
                <w:lang w:bidi="ar"/>
              </w:rPr>
              <w:t>10.6</w:t>
            </w:r>
          </w:p>
        </w:tc>
        <w:tc>
          <w:tcPr>
            <w:tcW w:w="7381" w:type="dxa"/>
            <w:tcBorders>
              <w:top w:val="single" w:color="auto" w:sz="4" w:space="0"/>
              <w:left w:val="single" w:color="auto" w:sz="4" w:space="0"/>
              <w:bottom w:val="single" w:color="auto" w:sz="4" w:space="0"/>
              <w:right w:val="single" w:color="auto" w:sz="4" w:space="0"/>
            </w:tcBorders>
            <w:vAlign w:val="center"/>
          </w:tcPr>
          <w:p w14:paraId="196BB58D">
            <w:pPr>
              <w:spacing w:beforeAutospacing="1" w:line="276" w:lineRule="auto"/>
              <w:jc w:val="left"/>
              <w:rPr>
                <w:rFonts w:hint="eastAsia" w:ascii="仿宋" w:hAnsi="仿宋" w:eastAsia="仿宋" w:cs="仿宋"/>
                <w:sz w:val="30"/>
                <w:szCs w:val="30"/>
                <w:lang w:bidi="ar"/>
              </w:rPr>
            </w:pPr>
            <w:r>
              <w:rPr>
                <w:rFonts w:ascii="仿宋" w:hAnsi="仿宋" w:eastAsia="仿宋" w:cs="仿宋"/>
                <w:sz w:val="30"/>
                <w:szCs w:val="30"/>
                <w:lang w:bidi="ar"/>
              </w:rPr>
              <w:t>实验室应进行相应等级的病原微生物实验室备案，备案凭证载明的微生物种类、实验活动范围必须覆盖实际送检检测项目</w:t>
            </w:r>
          </w:p>
        </w:tc>
      </w:tr>
      <w:tr w14:paraId="66783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trPr>
        <w:tc>
          <w:tcPr>
            <w:tcW w:w="1286" w:type="dxa"/>
            <w:tcBorders>
              <w:left w:val="single" w:color="auto" w:sz="4" w:space="0"/>
              <w:right w:val="single" w:color="auto" w:sz="4" w:space="0"/>
            </w:tcBorders>
            <w:vAlign w:val="center"/>
          </w:tcPr>
          <w:p w14:paraId="0EC6C7E8">
            <w:pPr>
              <w:spacing w:beforeAutospacing="1" w:line="276" w:lineRule="auto"/>
              <w:jc w:val="center"/>
              <w:rPr>
                <w:rFonts w:hint="eastAsia" w:ascii="仿宋" w:hAnsi="仿宋" w:eastAsia="仿宋" w:cs="仿宋"/>
                <w:sz w:val="30"/>
                <w:szCs w:val="30"/>
              </w:rPr>
            </w:pPr>
          </w:p>
        </w:tc>
        <w:tc>
          <w:tcPr>
            <w:tcW w:w="822" w:type="dxa"/>
            <w:tcBorders>
              <w:left w:val="single" w:color="auto" w:sz="4" w:space="0"/>
              <w:right w:val="single" w:color="auto" w:sz="4" w:space="0"/>
            </w:tcBorders>
          </w:tcPr>
          <w:p w14:paraId="7AEFB591">
            <w:pPr>
              <w:spacing w:beforeAutospacing="1" w:line="276" w:lineRule="auto"/>
              <w:jc w:val="center"/>
              <w:rPr>
                <w:rFonts w:hint="eastAsia" w:ascii="仿宋" w:hAnsi="仿宋" w:eastAsia="仿宋" w:cs="仿宋"/>
                <w:sz w:val="30"/>
                <w:szCs w:val="30"/>
                <w:lang w:bidi="ar"/>
              </w:rPr>
            </w:pPr>
            <w:r>
              <w:rPr>
                <w:rFonts w:ascii="仿宋" w:hAnsi="仿宋" w:eastAsia="仿宋" w:cs="仿宋"/>
                <w:sz w:val="30"/>
                <w:szCs w:val="30"/>
                <w:lang w:bidi="ar"/>
              </w:rPr>
              <w:t>★</w:t>
            </w:r>
          </w:p>
        </w:tc>
        <w:tc>
          <w:tcPr>
            <w:tcW w:w="889" w:type="dxa"/>
            <w:tcBorders>
              <w:top w:val="single" w:color="auto" w:sz="4" w:space="0"/>
              <w:left w:val="single" w:color="auto" w:sz="4" w:space="0"/>
              <w:bottom w:val="single" w:color="auto" w:sz="4" w:space="0"/>
              <w:right w:val="single" w:color="auto" w:sz="4" w:space="0"/>
            </w:tcBorders>
            <w:vAlign w:val="center"/>
          </w:tcPr>
          <w:p w14:paraId="591574E9">
            <w:pPr>
              <w:spacing w:beforeAutospacing="1" w:line="276" w:lineRule="auto"/>
              <w:jc w:val="center"/>
              <w:rPr>
                <w:rFonts w:hint="eastAsia" w:ascii="仿宋" w:hAnsi="仿宋" w:eastAsia="仿宋" w:cs="仿宋"/>
                <w:sz w:val="30"/>
                <w:szCs w:val="30"/>
                <w:lang w:bidi="ar"/>
              </w:rPr>
            </w:pPr>
            <w:r>
              <w:rPr>
                <w:rFonts w:hint="eastAsia" w:ascii="仿宋" w:hAnsi="仿宋" w:eastAsia="仿宋" w:cs="仿宋"/>
                <w:sz w:val="30"/>
                <w:szCs w:val="30"/>
                <w:lang w:bidi="ar"/>
              </w:rPr>
              <w:t>10.7</w:t>
            </w:r>
          </w:p>
        </w:tc>
        <w:tc>
          <w:tcPr>
            <w:tcW w:w="7381" w:type="dxa"/>
            <w:tcBorders>
              <w:top w:val="single" w:color="auto" w:sz="4" w:space="0"/>
              <w:left w:val="single" w:color="auto" w:sz="4" w:space="0"/>
              <w:bottom w:val="single" w:color="auto" w:sz="4" w:space="0"/>
              <w:right w:val="single" w:color="auto" w:sz="4" w:space="0"/>
            </w:tcBorders>
            <w:vAlign w:val="center"/>
          </w:tcPr>
          <w:p w14:paraId="2732E497">
            <w:pPr>
              <w:spacing w:beforeAutospacing="1" w:line="276" w:lineRule="auto"/>
              <w:jc w:val="left"/>
              <w:rPr>
                <w:rFonts w:ascii="仿宋" w:hAnsi="仿宋" w:eastAsia="仿宋" w:cs="仿宋"/>
                <w:sz w:val="30"/>
                <w:szCs w:val="30"/>
                <w:lang w:bidi="ar"/>
              </w:rPr>
            </w:pPr>
            <w:r>
              <w:rPr>
                <w:rFonts w:ascii="仿宋" w:hAnsi="仿宋" w:eastAsia="仿宋" w:cs="仿宋"/>
                <w:sz w:val="30"/>
                <w:szCs w:val="30"/>
                <w:lang w:bidi="ar"/>
              </w:rPr>
              <w:t>需提供与送检项目相对应的检测实验室设备证明材料（提供照片和最近一次校准报告）</w:t>
            </w:r>
          </w:p>
        </w:tc>
      </w:tr>
      <w:tr w14:paraId="1826B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trPr>
        <w:tc>
          <w:tcPr>
            <w:tcW w:w="10378" w:type="dxa"/>
            <w:gridSpan w:val="4"/>
            <w:tcBorders>
              <w:left w:val="single" w:color="auto" w:sz="4" w:space="0"/>
              <w:right w:val="single" w:color="auto" w:sz="4" w:space="0"/>
            </w:tcBorders>
            <w:vAlign w:val="center"/>
          </w:tcPr>
          <w:p w14:paraId="5ECFA5EC">
            <w:pPr>
              <w:spacing w:beforeAutospacing="1" w:line="276" w:lineRule="auto"/>
              <w:jc w:val="left"/>
              <w:rPr>
                <w:rFonts w:hint="default" w:ascii="仿宋" w:hAnsi="仿宋" w:eastAsia="仿宋" w:cs="仿宋"/>
                <w:sz w:val="30"/>
                <w:szCs w:val="30"/>
                <w:lang w:val="en-US" w:eastAsia="zh-CN" w:bidi="ar"/>
              </w:rPr>
            </w:pPr>
            <w:r>
              <w:rPr>
                <w:rFonts w:hint="eastAsia" w:ascii="仿宋" w:hAnsi="仿宋" w:eastAsia="仿宋" w:cs="仿宋"/>
                <w:sz w:val="30"/>
                <w:szCs w:val="30"/>
                <w:lang w:val="en-US" w:eastAsia="zh-CN" w:bidi="ar"/>
              </w:rPr>
              <w:t>注：所有技术参数中，标“</w:t>
            </w:r>
            <w:r>
              <w:rPr>
                <w:rFonts w:ascii="仿宋" w:hAnsi="仿宋" w:eastAsia="仿宋" w:cs="仿宋"/>
                <w:sz w:val="30"/>
                <w:szCs w:val="30"/>
                <w:lang w:bidi="ar"/>
              </w:rPr>
              <w:t>★</w:t>
            </w:r>
            <w:r>
              <w:rPr>
                <w:rFonts w:hint="eastAsia" w:ascii="仿宋" w:hAnsi="仿宋" w:eastAsia="仿宋" w:cs="仿宋"/>
                <w:sz w:val="30"/>
                <w:szCs w:val="30"/>
                <w:lang w:val="en-US" w:eastAsia="zh-CN" w:bidi="ar"/>
              </w:rPr>
              <w:t>”项为主要技术参数，任意一条不满足则导致响应无效。</w:t>
            </w:r>
          </w:p>
        </w:tc>
      </w:tr>
    </w:tbl>
    <w:p w14:paraId="16F23485">
      <w:pPr>
        <w:numPr>
          <w:numId w:val="0"/>
        </w:numPr>
        <w:spacing w:line="560" w:lineRule="exact"/>
        <w:jc w:val="left"/>
        <w:rPr>
          <w:rFonts w:hint="eastAsia" w:ascii="仿宋" w:hAnsi="仿宋" w:eastAsia="仿宋" w:cs="仿宋"/>
          <w:sz w:val="30"/>
          <w:szCs w:val="30"/>
        </w:rPr>
      </w:pPr>
    </w:p>
    <w:p w14:paraId="31AAF8DD">
      <w:pPr>
        <w:numPr>
          <w:numId w:val="0"/>
        </w:numPr>
        <w:spacing w:line="560" w:lineRule="exact"/>
        <w:jc w:val="left"/>
        <w:rPr>
          <w:rFonts w:hint="eastAsia" w:ascii="仿宋" w:hAnsi="仿宋" w:eastAsia="仿宋" w:cs="仿宋"/>
          <w:sz w:val="30"/>
          <w:szCs w:val="30"/>
        </w:rPr>
      </w:pPr>
    </w:p>
    <w:p w14:paraId="4B2240EC">
      <w:pPr>
        <w:numPr>
          <w:numId w:val="0"/>
        </w:numPr>
        <w:spacing w:line="560" w:lineRule="exact"/>
        <w:jc w:val="left"/>
        <w:rPr>
          <w:rFonts w:hint="eastAsia" w:ascii="仿宋" w:hAnsi="仿宋" w:eastAsia="仿宋" w:cs="仿宋"/>
          <w:sz w:val="30"/>
          <w:szCs w:val="30"/>
        </w:rPr>
      </w:pPr>
    </w:p>
    <w:p w14:paraId="53915F38">
      <w:pPr>
        <w:numPr>
          <w:numId w:val="0"/>
        </w:numPr>
        <w:spacing w:line="560" w:lineRule="exact"/>
        <w:jc w:val="left"/>
        <w:rPr>
          <w:rFonts w:hint="eastAsia" w:ascii="仿宋" w:hAnsi="仿宋" w:eastAsia="仿宋" w:cs="仿宋"/>
          <w:sz w:val="30"/>
          <w:szCs w:val="30"/>
        </w:rPr>
      </w:pPr>
    </w:p>
    <w:p w14:paraId="436E4E76">
      <w:pPr>
        <w:numPr>
          <w:numId w:val="0"/>
        </w:numPr>
        <w:spacing w:line="560" w:lineRule="exact"/>
        <w:jc w:val="left"/>
        <w:rPr>
          <w:rFonts w:hint="eastAsia" w:ascii="仿宋" w:hAnsi="仿宋" w:eastAsia="仿宋" w:cs="仿宋"/>
          <w:sz w:val="30"/>
          <w:szCs w:val="30"/>
        </w:rPr>
      </w:pPr>
    </w:p>
    <w:p w14:paraId="55DC1617">
      <w:pPr>
        <w:numPr>
          <w:numId w:val="0"/>
        </w:numPr>
        <w:spacing w:line="560" w:lineRule="exact"/>
        <w:jc w:val="left"/>
        <w:rPr>
          <w:rFonts w:hint="eastAsia" w:ascii="仿宋" w:hAnsi="仿宋" w:eastAsia="仿宋" w:cs="仿宋"/>
          <w:sz w:val="30"/>
          <w:szCs w:val="30"/>
        </w:rPr>
      </w:pPr>
    </w:p>
    <w:p w14:paraId="326CDE33">
      <w:pPr>
        <w:numPr>
          <w:numId w:val="0"/>
        </w:numPr>
        <w:spacing w:line="560" w:lineRule="exact"/>
        <w:jc w:val="left"/>
        <w:rPr>
          <w:rFonts w:hint="eastAsia" w:ascii="仿宋" w:hAnsi="仿宋" w:eastAsia="仿宋" w:cs="仿宋"/>
          <w:sz w:val="30"/>
          <w:szCs w:val="30"/>
        </w:rPr>
      </w:pPr>
    </w:p>
    <w:p w14:paraId="640CD257">
      <w:pPr>
        <w:numPr>
          <w:numId w:val="0"/>
        </w:numPr>
        <w:spacing w:line="560" w:lineRule="exact"/>
        <w:jc w:val="left"/>
        <w:rPr>
          <w:rFonts w:hint="eastAsia" w:ascii="仿宋" w:hAnsi="仿宋" w:eastAsia="仿宋" w:cs="仿宋"/>
          <w:sz w:val="30"/>
          <w:szCs w:val="30"/>
        </w:rPr>
      </w:pPr>
    </w:p>
    <w:p w14:paraId="5D4BF5D8">
      <w:pPr>
        <w:numPr>
          <w:numId w:val="0"/>
        </w:numPr>
        <w:spacing w:line="560" w:lineRule="exact"/>
        <w:jc w:val="left"/>
        <w:rPr>
          <w:rFonts w:hint="eastAsia" w:ascii="仿宋" w:hAnsi="仿宋" w:eastAsia="仿宋" w:cs="仿宋"/>
          <w:sz w:val="30"/>
          <w:szCs w:val="30"/>
        </w:rPr>
      </w:pPr>
    </w:p>
    <w:p w14:paraId="1DE6D63E">
      <w:pPr>
        <w:numPr>
          <w:numId w:val="0"/>
        </w:numPr>
        <w:spacing w:line="560" w:lineRule="exact"/>
        <w:jc w:val="left"/>
        <w:rPr>
          <w:rFonts w:hint="eastAsia" w:ascii="仿宋" w:hAnsi="仿宋" w:eastAsia="仿宋" w:cs="仿宋"/>
          <w:sz w:val="30"/>
          <w:szCs w:val="30"/>
        </w:rPr>
      </w:pPr>
    </w:p>
    <w:p w14:paraId="61E95DD4">
      <w:pPr>
        <w:numPr>
          <w:numId w:val="0"/>
        </w:numPr>
        <w:spacing w:line="560" w:lineRule="exact"/>
        <w:jc w:val="left"/>
        <w:rPr>
          <w:rFonts w:hint="eastAsia" w:ascii="仿宋" w:hAnsi="仿宋" w:eastAsia="仿宋" w:cs="仿宋"/>
          <w:sz w:val="30"/>
          <w:szCs w:val="30"/>
        </w:rPr>
      </w:pPr>
    </w:p>
    <w:p w14:paraId="062CFAFE">
      <w:pPr>
        <w:numPr>
          <w:numId w:val="0"/>
        </w:numPr>
        <w:spacing w:line="560" w:lineRule="exact"/>
        <w:jc w:val="left"/>
        <w:rPr>
          <w:rFonts w:hint="eastAsia" w:ascii="仿宋" w:hAnsi="仿宋" w:eastAsia="仿宋" w:cs="仿宋"/>
          <w:sz w:val="30"/>
          <w:szCs w:val="30"/>
        </w:rPr>
      </w:pPr>
    </w:p>
    <w:p w14:paraId="56B5F2EB">
      <w:pPr>
        <w:numPr>
          <w:numId w:val="0"/>
        </w:numPr>
        <w:spacing w:line="560" w:lineRule="exact"/>
        <w:jc w:val="left"/>
        <w:rPr>
          <w:rFonts w:hint="eastAsia" w:ascii="仿宋" w:hAnsi="仿宋" w:eastAsia="仿宋" w:cs="仿宋"/>
          <w:sz w:val="30"/>
          <w:szCs w:val="30"/>
        </w:rPr>
      </w:pPr>
    </w:p>
    <w:p w14:paraId="327F39DE">
      <w:pPr>
        <w:numPr>
          <w:numId w:val="0"/>
        </w:numPr>
        <w:spacing w:line="560" w:lineRule="exact"/>
        <w:jc w:val="left"/>
        <w:rPr>
          <w:rFonts w:hint="eastAsia" w:ascii="仿宋" w:hAnsi="仿宋" w:eastAsia="仿宋" w:cs="仿宋"/>
          <w:sz w:val="30"/>
          <w:szCs w:val="30"/>
        </w:rPr>
      </w:pPr>
    </w:p>
    <w:p w14:paraId="1742C3CF">
      <w:pPr>
        <w:numPr>
          <w:numId w:val="0"/>
        </w:numPr>
        <w:spacing w:line="560" w:lineRule="exact"/>
        <w:jc w:val="left"/>
        <w:rPr>
          <w:rFonts w:hint="eastAsia" w:ascii="仿宋" w:hAnsi="仿宋" w:eastAsia="仿宋" w:cs="仿宋"/>
          <w:sz w:val="30"/>
          <w:szCs w:val="30"/>
        </w:rPr>
      </w:pPr>
    </w:p>
    <w:p w14:paraId="2E348EE4">
      <w:pPr>
        <w:numPr>
          <w:numId w:val="0"/>
        </w:numPr>
        <w:spacing w:line="560" w:lineRule="exact"/>
        <w:jc w:val="left"/>
        <w:rPr>
          <w:rFonts w:hint="eastAsia" w:ascii="仿宋" w:hAnsi="仿宋" w:eastAsia="仿宋" w:cs="仿宋"/>
          <w:sz w:val="30"/>
          <w:szCs w:val="30"/>
        </w:rPr>
      </w:pPr>
    </w:p>
    <w:p w14:paraId="49E4B4A4">
      <w:pPr>
        <w:numPr>
          <w:numId w:val="0"/>
        </w:numPr>
        <w:spacing w:line="560" w:lineRule="exact"/>
        <w:jc w:val="left"/>
        <w:rPr>
          <w:rFonts w:hint="eastAsia" w:ascii="仿宋" w:hAnsi="仿宋" w:eastAsia="仿宋" w:cs="仿宋"/>
          <w:sz w:val="30"/>
          <w:szCs w:val="30"/>
        </w:rPr>
      </w:pPr>
    </w:p>
    <w:p w14:paraId="3DD16C25">
      <w:pPr>
        <w:numPr>
          <w:ilvl w:val="0"/>
          <w:numId w:val="0"/>
        </w:numPr>
        <w:spacing w:line="560" w:lineRule="exact"/>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（三）综合评审表</w:t>
      </w:r>
    </w:p>
    <w:tbl>
      <w:tblPr>
        <w:tblStyle w:val="11"/>
        <w:tblW w:w="10380" w:type="dxa"/>
        <w:tblInd w:w="-50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13"/>
        <w:gridCol w:w="1546"/>
        <w:gridCol w:w="7421"/>
      </w:tblGrid>
      <w:tr w14:paraId="786D1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9" w:hRule="atLeast"/>
        </w:trPr>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4281E">
            <w:pPr>
              <w:keepNext w:val="0"/>
              <w:keepLines w:val="0"/>
              <w:suppressLineNumbers w:val="0"/>
              <w:spacing w:before="0" w:beforeAutospacing="0" w:after="0" w:afterAutospacing="0"/>
              <w:ind w:left="0" w:right="0"/>
              <w:jc w:val="center"/>
              <w:rPr>
                <w:rFonts w:hint="eastAsia" w:ascii="仿宋" w:hAnsi="仿宋" w:eastAsia="仿宋" w:cs="仿宋"/>
                <w:b/>
                <w:bCs/>
                <w:i w:val="0"/>
                <w:iCs w:val="0"/>
                <w:color w:val="000000"/>
                <w:sz w:val="30"/>
                <w:szCs w:val="30"/>
                <w:u w:val="none"/>
              </w:rPr>
            </w:pPr>
          </w:p>
        </w:tc>
        <w:tc>
          <w:tcPr>
            <w:tcW w:w="89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EBD6A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30"/>
                <w:szCs w:val="30"/>
                <w:u w:val="none"/>
              </w:rPr>
            </w:pPr>
            <w:r>
              <w:rPr>
                <w:rFonts w:hint="eastAsia" w:ascii="仿宋" w:hAnsi="仿宋" w:eastAsia="仿宋" w:cs="仿宋"/>
                <w:b/>
                <w:bCs/>
                <w:i w:val="0"/>
                <w:iCs w:val="0"/>
                <w:color w:val="000000"/>
                <w:kern w:val="0"/>
                <w:sz w:val="30"/>
                <w:szCs w:val="30"/>
                <w:u w:val="none"/>
                <w:lang w:val="en-US" w:eastAsia="zh-CN" w:bidi="ar"/>
              </w:rPr>
              <w:t>评审标准</w:t>
            </w:r>
          </w:p>
        </w:tc>
      </w:tr>
      <w:tr w14:paraId="55930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6" w:hRule="atLeast"/>
        </w:trPr>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9B45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30"/>
                <w:szCs w:val="30"/>
                <w:u w:val="none"/>
              </w:rPr>
            </w:pPr>
            <w:r>
              <w:rPr>
                <w:rFonts w:hint="eastAsia" w:ascii="仿宋" w:hAnsi="仿宋" w:eastAsia="仿宋" w:cs="仿宋"/>
                <w:b/>
                <w:bCs/>
                <w:i w:val="0"/>
                <w:iCs w:val="0"/>
                <w:color w:val="000000"/>
                <w:kern w:val="0"/>
                <w:sz w:val="30"/>
                <w:szCs w:val="30"/>
                <w:u w:val="none"/>
                <w:lang w:val="en-US" w:eastAsia="zh-CN" w:bidi="ar"/>
              </w:rPr>
              <w:t>分值构成</w:t>
            </w:r>
          </w:p>
        </w:tc>
        <w:tc>
          <w:tcPr>
            <w:tcW w:w="89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8BD42B">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b/>
                <w:bCs/>
                <w:i w:val="0"/>
                <w:iCs w:val="0"/>
                <w:color w:val="000000"/>
                <w:sz w:val="30"/>
                <w:szCs w:val="30"/>
                <w:u w:val="none"/>
              </w:rPr>
            </w:pPr>
            <w:r>
              <w:rPr>
                <w:rFonts w:hint="eastAsia" w:ascii="仿宋" w:hAnsi="仿宋" w:eastAsia="仿宋" w:cs="仿宋"/>
                <w:b w:val="0"/>
                <w:bCs w:val="0"/>
                <w:i w:val="0"/>
                <w:iCs w:val="0"/>
                <w:color w:val="000000"/>
                <w:kern w:val="0"/>
                <w:sz w:val="30"/>
                <w:szCs w:val="30"/>
                <w:u w:val="none"/>
                <w:lang w:val="en-US" w:eastAsia="zh-CN" w:bidi="ar"/>
              </w:rPr>
              <w:t>技术部分70分 商务部分20分 报价得分10分</w:t>
            </w:r>
          </w:p>
        </w:tc>
      </w:tr>
      <w:tr w14:paraId="2E1DA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43" w:hRule="atLeast"/>
        </w:trPr>
        <w:tc>
          <w:tcPr>
            <w:tcW w:w="1413" w:type="dxa"/>
            <w:vMerge w:val="restart"/>
            <w:tcBorders>
              <w:top w:val="single" w:color="000000" w:sz="4" w:space="0"/>
              <w:left w:val="single" w:color="000000" w:sz="4" w:space="0"/>
              <w:bottom w:val="nil"/>
              <w:right w:val="single" w:color="000000" w:sz="4" w:space="0"/>
            </w:tcBorders>
            <w:shd w:val="clear" w:color="auto" w:fill="auto"/>
            <w:vAlign w:val="center"/>
          </w:tcPr>
          <w:p w14:paraId="14F7E7E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30"/>
                <w:szCs w:val="30"/>
                <w:u w:val="none"/>
              </w:rPr>
            </w:pPr>
            <w:r>
              <w:rPr>
                <w:rFonts w:hint="eastAsia" w:ascii="仿宋" w:hAnsi="仿宋" w:eastAsia="仿宋" w:cs="仿宋"/>
                <w:b/>
                <w:bCs/>
                <w:i w:val="0"/>
                <w:iCs w:val="0"/>
                <w:color w:val="000000"/>
                <w:kern w:val="0"/>
                <w:sz w:val="30"/>
                <w:szCs w:val="30"/>
                <w:u w:val="none"/>
                <w:lang w:val="en-US" w:eastAsia="zh-CN" w:bidi="ar"/>
              </w:rPr>
              <w:t>技术部分</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E68A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30"/>
                <w:szCs w:val="30"/>
                <w:u w:val="none"/>
              </w:rPr>
            </w:pPr>
            <w:r>
              <w:rPr>
                <w:rFonts w:hint="eastAsia" w:ascii="仿宋" w:hAnsi="仿宋" w:eastAsia="仿宋" w:cs="仿宋"/>
                <w:b/>
                <w:bCs/>
                <w:i w:val="0"/>
                <w:iCs w:val="0"/>
                <w:color w:val="000000"/>
                <w:kern w:val="0"/>
                <w:sz w:val="30"/>
                <w:szCs w:val="30"/>
                <w:u w:val="none"/>
                <w:lang w:val="en-US" w:eastAsia="zh-CN" w:bidi="ar"/>
              </w:rPr>
              <w:t>技术服务方案 (10分)</w:t>
            </w:r>
          </w:p>
        </w:tc>
        <w:tc>
          <w:tcPr>
            <w:tcW w:w="7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AC1FA">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根据投标人提供的服务方案进行评价，内容包括但不限于以下内容： ①项目人员配备； ②样本采集规范； ③标本保存方案； ④检测工作流程规范； ⑤发送检测结果报告方法； ⑥报告出具时间控制方案。对以上内容进行综合评估，要求方案内容全面完整，能够根据项目实际情况，结合采购需求 ，提出合理、有效、逻辑清晰的方案。提供方案得基础分7分。</w:t>
            </w:r>
            <w:r>
              <w:rPr>
                <w:rFonts w:hint="eastAsia" w:ascii="仿宋" w:hAnsi="仿宋" w:eastAsia="仿宋" w:cs="仿宋"/>
                <w:i w:val="0"/>
                <w:iCs w:val="0"/>
                <w:color w:val="000000"/>
                <w:kern w:val="0"/>
                <w:sz w:val="30"/>
                <w:szCs w:val="30"/>
                <w:u w:val="none"/>
                <w:lang w:val="en-US" w:eastAsia="zh-CN" w:bidi="ar"/>
              </w:rPr>
              <w:br w:type="textWrapping"/>
            </w:r>
            <w:r>
              <w:rPr>
                <w:rFonts w:hint="eastAsia" w:ascii="仿宋" w:hAnsi="仿宋" w:eastAsia="仿宋" w:cs="仿宋"/>
                <w:b/>
                <w:bCs/>
                <w:i w:val="0"/>
                <w:iCs w:val="0"/>
                <w:color w:val="000000"/>
                <w:kern w:val="0"/>
                <w:sz w:val="30"/>
                <w:szCs w:val="30"/>
                <w:u w:val="none"/>
                <w:lang w:val="en-US" w:eastAsia="zh-CN" w:bidi="ar"/>
              </w:rPr>
              <w:t>额外加分标准：</w:t>
            </w:r>
            <w:r>
              <w:rPr>
                <w:rFonts w:hint="eastAsia" w:ascii="仿宋" w:hAnsi="仿宋" w:eastAsia="仿宋" w:cs="仿宋"/>
                <w:i w:val="0"/>
                <w:iCs w:val="0"/>
                <w:color w:val="000000"/>
                <w:kern w:val="0"/>
                <w:sz w:val="30"/>
                <w:szCs w:val="30"/>
                <w:u w:val="none"/>
                <w:lang w:val="en-US" w:eastAsia="zh-CN" w:bidi="ar"/>
              </w:rPr>
              <w:t xml:space="preserve">                                                              </w:t>
            </w:r>
            <w:r>
              <w:rPr>
                <w:rFonts w:hint="eastAsia" w:ascii="仿宋" w:hAnsi="仿宋" w:eastAsia="仿宋" w:cs="仿宋"/>
                <w:i w:val="0"/>
                <w:iCs w:val="0"/>
                <w:color w:val="000000"/>
                <w:kern w:val="0"/>
                <w:sz w:val="30"/>
                <w:szCs w:val="30"/>
                <w:u w:val="none"/>
                <w:lang w:val="en-US" w:eastAsia="zh-CN" w:bidi="ar"/>
              </w:rPr>
              <w:br w:type="textWrapping"/>
            </w:r>
            <w:r>
              <w:rPr>
                <w:rFonts w:hint="eastAsia" w:ascii="仿宋" w:hAnsi="仿宋" w:eastAsia="仿宋" w:cs="仿宋"/>
                <w:i w:val="0"/>
                <w:iCs w:val="0"/>
                <w:color w:val="000000"/>
                <w:kern w:val="0"/>
                <w:sz w:val="30"/>
                <w:szCs w:val="30"/>
                <w:u w:val="none"/>
                <w:lang w:val="en-US" w:eastAsia="zh-CN" w:bidi="ar"/>
              </w:rPr>
              <w:t>方案内容全面、逻辑合理，具备极强的落地执行性，得3分；</w:t>
            </w:r>
            <w:r>
              <w:rPr>
                <w:rFonts w:hint="eastAsia" w:ascii="仿宋" w:hAnsi="仿宋" w:eastAsia="仿宋" w:cs="仿宋"/>
                <w:i w:val="0"/>
                <w:iCs w:val="0"/>
                <w:color w:val="000000"/>
                <w:kern w:val="0"/>
                <w:sz w:val="30"/>
                <w:szCs w:val="30"/>
                <w:u w:val="none"/>
                <w:lang w:val="en-US" w:eastAsia="zh-CN" w:bidi="ar"/>
              </w:rPr>
              <w:br w:type="textWrapping"/>
            </w:r>
            <w:r>
              <w:rPr>
                <w:rFonts w:hint="eastAsia" w:ascii="仿宋" w:hAnsi="仿宋" w:eastAsia="仿宋" w:cs="仿宋"/>
                <w:i w:val="0"/>
                <w:iCs w:val="0"/>
                <w:color w:val="000000"/>
                <w:kern w:val="0"/>
                <w:sz w:val="30"/>
                <w:szCs w:val="30"/>
                <w:u w:val="none"/>
                <w:lang w:val="en-US" w:eastAsia="zh-CN" w:bidi="ar"/>
              </w:rPr>
              <w:t>方案较为全面、基本合理，具备一定执行性，得2分；</w:t>
            </w:r>
            <w:r>
              <w:rPr>
                <w:rFonts w:hint="eastAsia" w:ascii="仿宋" w:hAnsi="仿宋" w:eastAsia="仿宋" w:cs="仿宋"/>
                <w:i w:val="0"/>
                <w:iCs w:val="0"/>
                <w:color w:val="000000"/>
                <w:kern w:val="0"/>
                <w:sz w:val="30"/>
                <w:szCs w:val="30"/>
                <w:u w:val="none"/>
                <w:lang w:val="en-US" w:eastAsia="zh-CN" w:bidi="ar"/>
              </w:rPr>
              <w:br w:type="textWrapping"/>
            </w:r>
            <w:r>
              <w:rPr>
                <w:rFonts w:hint="eastAsia" w:ascii="仿宋" w:hAnsi="仿宋" w:eastAsia="仿宋" w:cs="仿宋"/>
                <w:i w:val="0"/>
                <w:iCs w:val="0"/>
                <w:color w:val="000000"/>
                <w:kern w:val="0"/>
                <w:sz w:val="30"/>
                <w:szCs w:val="30"/>
                <w:u w:val="none"/>
                <w:lang w:val="en-US" w:eastAsia="zh-CN" w:bidi="ar"/>
              </w:rPr>
              <w:t xml:space="preserve"> 方案不够全面、合理性不足，执行性较弱，得1分； </w:t>
            </w:r>
            <w:r>
              <w:rPr>
                <w:rFonts w:hint="eastAsia" w:ascii="仿宋" w:hAnsi="仿宋" w:eastAsia="仿宋" w:cs="仿宋"/>
                <w:i w:val="0"/>
                <w:iCs w:val="0"/>
                <w:color w:val="000000"/>
                <w:kern w:val="0"/>
                <w:sz w:val="30"/>
                <w:szCs w:val="30"/>
                <w:u w:val="none"/>
                <w:lang w:val="en-US" w:eastAsia="zh-CN" w:bidi="ar"/>
              </w:rPr>
              <w:br w:type="textWrapping"/>
            </w:r>
            <w:r>
              <w:rPr>
                <w:rFonts w:hint="eastAsia" w:ascii="仿宋" w:hAnsi="仿宋" w:eastAsia="仿宋" w:cs="仿宋"/>
                <w:i w:val="0"/>
                <w:iCs w:val="0"/>
                <w:color w:val="000000"/>
                <w:kern w:val="0"/>
                <w:sz w:val="30"/>
                <w:szCs w:val="30"/>
                <w:u w:val="none"/>
                <w:lang w:val="en-US" w:eastAsia="zh-CN" w:bidi="ar"/>
              </w:rPr>
              <w:t xml:space="preserve">未提供，不得分。                                                                             </w:t>
            </w:r>
          </w:p>
        </w:tc>
      </w:tr>
      <w:tr w14:paraId="7509E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1413" w:type="dxa"/>
            <w:vMerge w:val="continue"/>
            <w:tcBorders>
              <w:top w:val="single" w:color="000000" w:sz="4" w:space="0"/>
              <w:left w:val="single" w:color="000000" w:sz="4" w:space="0"/>
              <w:bottom w:val="nil"/>
              <w:right w:val="single" w:color="000000" w:sz="4" w:space="0"/>
            </w:tcBorders>
            <w:shd w:val="clear" w:color="auto" w:fill="auto"/>
            <w:vAlign w:val="center"/>
          </w:tcPr>
          <w:p w14:paraId="63EB5A32">
            <w:pPr>
              <w:keepNext w:val="0"/>
              <w:keepLines w:val="0"/>
              <w:suppressLineNumbers w:val="0"/>
              <w:spacing w:before="0" w:beforeAutospacing="0" w:after="0" w:afterAutospacing="0"/>
              <w:ind w:left="0" w:right="0"/>
              <w:jc w:val="center"/>
              <w:rPr>
                <w:rFonts w:hint="eastAsia" w:ascii="仿宋" w:hAnsi="仿宋" w:eastAsia="仿宋" w:cs="仿宋"/>
                <w:b/>
                <w:bCs/>
                <w:i w:val="0"/>
                <w:iCs w:val="0"/>
                <w:color w:val="000000"/>
                <w:sz w:val="30"/>
                <w:szCs w:val="30"/>
                <w:u w:val="none"/>
              </w:rPr>
            </w:pP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93E8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30"/>
                <w:szCs w:val="30"/>
                <w:u w:val="none"/>
              </w:rPr>
            </w:pPr>
            <w:r>
              <w:rPr>
                <w:rFonts w:hint="eastAsia" w:ascii="仿宋" w:hAnsi="仿宋" w:eastAsia="仿宋" w:cs="仿宋"/>
                <w:b/>
                <w:bCs/>
                <w:i w:val="0"/>
                <w:iCs w:val="0"/>
                <w:color w:val="000000"/>
                <w:kern w:val="0"/>
                <w:sz w:val="30"/>
                <w:szCs w:val="30"/>
                <w:u w:val="none"/>
                <w:lang w:val="en-US" w:eastAsia="zh-CN" w:bidi="ar"/>
              </w:rPr>
              <w:t>服务质量保障方案 (10分)</w:t>
            </w:r>
          </w:p>
        </w:tc>
        <w:tc>
          <w:tcPr>
            <w:tcW w:w="7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911B7">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根据投标人提供的服务质量保障方案进行评价，内容包括但不限于以下内容： ①检测方法方面的质量控制（包括不限于：室内质控及室间质评）；② 样本方面的质量控制； ③技术人员方面的质量控制；④检测设备方面的质量控制； ⑤标本运输质量控制。对以上内容进行综合评估，要求方案内容全面完整，能够根据项目实际情况，结合采购需求，提出合理，有效，逻辑清晰的方案。</w:t>
            </w:r>
            <w:r>
              <w:rPr>
                <w:rFonts w:hint="eastAsia" w:ascii="仿宋" w:hAnsi="仿宋" w:eastAsia="仿宋" w:cs="仿宋"/>
                <w:i w:val="0"/>
                <w:iCs w:val="0"/>
                <w:color w:val="000000"/>
                <w:kern w:val="0"/>
                <w:sz w:val="30"/>
                <w:szCs w:val="30"/>
                <w:u w:val="none"/>
                <w:lang w:val="en-US" w:eastAsia="zh-CN" w:bidi="ar"/>
              </w:rPr>
              <w:br w:type="textWrapping"/>
            </w:r>
            <w:r>
              <w:rPr>
                <w:rFonts w:hint="eastAsia" w:ascii="仿宋" w:hAnsi="仿宋" w:eastAsia="仿宋" w:cs="仿宋"/>
                <w:i w:val="0"/>
                <w:iCs w:val="0"/>
                <w:color w:val="000000"/>
                <w:kern w:val="0"/>
                <w:sz w:val="30"/>
                <w:szCs w:val="30"/>
                <w:u w:val="none"/>
                <w:lang w:val="en-US" w:eastAsia="zh-CN" w:bidi="ar"/>
              </w:rPr>
              <w:t>提供方案得基础分7分。</w:t>
            </w:r>
            <w:r>
              <w:rPr>
                <w:rFonts w:hint="eastAsia" w:ascii="仿宋" w:hAnsi="仿宋" w:eastAsia="仿宋" w:cs="仿宋"/>
                <w:b/>
                <w:bCs/>
                <w:i w:val="0"/>
                <w:iCs w:val="0"/>
                <w:color w:val="000000"/>
                <w:kern w:val="0"/>
                <w:sz w:val="30"/>
                <w:szCs w:val="30"/>
                <w:u w:val="none"/>
                <w:lang w:val="en-US" w:eastAsia="zh-CN" w:bidi="ar"/>
              </w:rPr>
              <w:t>额外加分标准：</w:t>
            </w:r>
            <w:r>
              <w:rPr>
                <w:rFonts w:hint="eastAsia" w:ascii="仿宋" w:hAnsi="仿宋" w:eastAsia="仿宋" w:cs="仿宋"/>
                <w:i w:val="0"/>
                <w:iCs w:val="0"/>
                <w:color w:val="000000"/>
                <w:kern w:val="0"/>
                <w:sz w:val="30"/>
                <w:szCs w:val="30"/>
                <w:u w:val="none"/>
                <w:lang w:val="en-US" w:eastAsia="zh-CN" w:bidi="ar"/>
              </w:rPr>
              <w:t xml:space="preserve">                                                                                                       方案内容全面、逻辑合理，具备极强的落地执行性，得3分；</w:t>
            </w:r>
            <w:r>
              <w:rPr>
                <w:rFonts w:hint="eastAsia" w:ascii="仿宋" w:hAnsi="仿宋" w:eastAsia="仿宋" w:cs="仿宋"/>
                <w:i w:val="0"/>
                <w:iCs w:val="0"/>
                <w:color w:val="000000"/>
                <w:kern w:val="0"/>
                <w:sz w:val="30"/>
                <w:szCs w:val="30"/>
                <w:u w:val="none"/>
                <w:lang w:val="en-US" w:eastAsia="zh-CN" w:bidi="ar"/>
              </w:rPr>
              <w:br w:type="textWrapping"/>
            </w:r>
            <w:r>
              <w:rPr>
                <w:rFonts w:hint="eastAsia" w:ascii="仿宋" w:hAnsi="仿宋" w:eastAsia="仿宋" w:cs="仿宋"/>
                <w:i w:val="0"/>
                <w:iCs w:val="0"/>
                <w:color w:val="000000"/>
                <w:kern w:val="0"/>
                <w:sz w:val="30"/>
                <w:szCs w:val="30"/>
                <w:u w:val="none"/>
                <w:lang w:val="en-US" w:eastAsia="zh-CN" w:bidi="ar"/>
              </w:rPr>
              <w:t>方案较为全面、基本合理，具备一定执行性，得2分；</w:t>
            </w:r>
            <w:r>
              <w:rPr>
                <w:rFonts w:hint="eastAsia" w:ascii="仿宋" w:hAnsi="仿宋" w:eastAsia="仿宋" w:cs="仿宋"/>
                <w:i w:val="0"/>
                <w:iCs w:val="0"/>
                <w:color w:val="000000"/>
                <w:kern w:val="0"/>
                <w:sz w:val="30"/>
                <w:szCs w:val="30"/>
                <w:u w:val="none"/>
                <w:lang w:val="en-US" w:eastAsia="zh-CN" w:bidi="ar"/>
              </w:rPr>
              <w:br w:type="textWrapping"/>
            </w:r>
            <w:r>
              <w:rPr>
                <w:rFonts w:hint="eastAsia" w:ascii="仿宋" w:hAnsi="仿宋" w:eastAsia="仿宋" w:cs="仿宋"/>
                <w:i w:val="0"/>
                <w:iCs w:val="0"/>
                <w:color w:val="000000"/>
                <w:kern w:val="0"/>
                <w:sz w:val="30"/>
                <w:szCs w:val="30"/>
                <w:u w:val="none"/>
                <w:lang w:val="en-US" w:eastAsia="zh-CN" w:bidi="ar"/>
              </w:rPr>
              <w:t xml:space="preserve"> 方案不够全面、合理性不足，执行性较弱，得1分； </w:t>
            </w:r>
            <w:r>
              <w:rPr>
                <w:rFonts w:hint="eastAsia" w:ascii="仿宋" w:hAnsi="仿宋" w:eastAsia="仿宋" w:cs="仿宋"/>
                <w:i w:val="0"/>
                <w:iCs w:val="0"/>
                <w:color w:val="000000"/>
                <w:kern w:val="0"/>
                <w:sz w:val="30"/>
                <w:szCs w:val="30"/>
                <w:u w:val="none"/>
                <w:lang w:val="en-US" w:eastAsia="zh-CN" w:bidi="ar"/>
              </w:rPr>
              <w:br w:type="textWrapping"/>
            </w:r>
            <w:r>
              <w:rPr>
                <w:rFonts w:hint="eastAsia" w:ascii="仿宋" w:hAnsi="仿宋" w:eastAsia="仿宋" w:cs="仿宋"/>
                <w:i w:val="0"/>
                <w:iCs w:val="0"/>
                <w:color w:val="000000"/>
                <w:kern w:val="0"/>
                <w:sz w:val="30"/>
                <w:szCs w:val="30"/>
                <w:u w:val="none"/>
                <w:lang w:val="en-US" w:eastAsia="zh-CN" w:bidi="ar"/>
              </w:rPr>
              <w:t xml:space="preserve">未提供，不得分。                                                                             </w:t>
            </w:r>
          </w:p>
        </w:tc>
      </w:tr>
      <w:tr w14:paraId="02E77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6" w:hRule="atLeast"/>
        </w:trPr>
        <w:tc>
          <w:tcPr>
            <w:tcW w:w="1413" w:type="dxa"/>
            <w:vMerge w:val="continue"/>
            <w:tcBorders>
              <w:top w:val="single" w:color="000000" w:sz="4" w:space="0"/>
              <w:left w:val="single" w:color="000000" w:sz="4" w:space="0"/>
              <w:bottom w:val="nil"/>
              <w:right w:val="single" w:color="000000" w:sz="4" w:space="0"/>
            </w:tcBorders>
            <w:shd w:val="clear" w:color="auto" w:fill="auto"/>
            <w:vAlign w:val="center"/>
          </w:tcPr>
          <w:p w14:paraId="1FDD8D5D">
            <w:pPr>
              <w:keepNext w:val="0"/>
              <w:keepLines w:val="0"/>
              <w:suppressLineNumbers w:val="0"/>
              <w:spacing w:before="0" w:beforeAutospacing="0" w:after="0" w:afterAutospacing="0"/>
              <w:ind w:left="0" w:right="0"/>
              <w:jc w:val="center"/>
              <w:rPr>
                <w:rFonts w:hint="eastAsia" w:ascii="仿宋" w:hAnsi="仿宋" w:eastAsia="仿宋" w:cs="仿宋"/>
                <w:b/>
                <w:bCs/>
                <w:i w:val="0"/>
                <w:iCs w:val="0"/>
                <w:color w:val="000000"/>
                <w:sz w:val="30"/>
                <w:szCs w:val="30"/>
                <w:u w:val="none"/>
              </w:rPr>
            </w:pP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17B2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30"/>
                <w:szCs w:val="30"/>
                <w:u w:val="none"/>
              </w:rPr>
            </w:pPr>
            <w:r>
              <w:rPr>
                <w:rFonts w:hint="eastAsia" w:ascii="仿宋" w:hAnsi="仿宋" w:eastAsia="仿宋" w:cs="仿宋"/>
                <w:b/>
                <w:bCs/>
                <w:i w:val="0"/>
                <w:iCs w:val="0"/>
                <w:color w:val="000000"/>
                <w:kern w:val="0"/>
                <w:sz w:val="30"/>
                <w:szCs w:val="30"/>
                <w:u w:val="none"/>
                <w:lang w:val="en-US" w:eastAsia="zh-CN" w:bidi="ar"/>
              </w:rPr>
              <w:t>应急方案 (10分)</w:t>
            </w:r>
          </w:p>
        </w:tc>
        <w:tc>
          <w:tcPr>
            <w:tcW w:w="7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DA18F">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30"/>
                <w:szCs w:val="30"/>
                <w:u w:val="none"/>
              </w:rPr>
            </w:pPr>
            <w:r>
              <w:rPr>
                <w:rStyle w:val="17"/>
                <w:rFonts w:hint="eastAsia" w:ascii="仿宋" w:hAnsi="仿宋" w:eastAsia="仿宋" w:cs="仿宋"/>
                <w:sz w:val="30"/>
                <w:szCs w:val="30"/>
                <w:lang w:val="en-US" w:eastAsia="zh-CN" w:bidi="ar"/>
              </w:rPr>
              <w:t>根据投标人提供的应急方案进行评价</w:t>
            </w:r>
            <w:r>
              <w:rPr>
                <w:rStyle w:val="19"/>
                <w:rFonts w:hint="eastAsia" w:ascii="仿宋" w:hAnsi="仿宋" w:eastAsia="仿宋" w:cs="仿宋"/>
                <w:sz w:val="30"/>
                <w:szCs w:val="30"/>
                <w:lang w:val="en-US" w:eastAsia="zh-CN" w:bidi="ar"/>
              </w:rPr>
              <w:t>，</w:t>
            </w:r>
            <w:r>
              <w:rPr>
                <w:rStyle w:val="17"/>
                <w:rFonts w:hint="eastAsia" w:ascii="仿宋" w:hAnsi="仿宋" w:eastAsia="仿宋" w:cs="仿宋"/>
                <w:sz w:val="30"/>
                <w:szCs w:val="30"/>
                <w:lang w:val="en-US" w:eastAsia="zh-CN" w:bidi="ar"/>
              </w:rPr>
              <w:t>内容包括但不限于以下内容</w:t>
            </w:r>
            <w:r>
              <w:rPr>
                <w:rStyle w:val="19"/>
                <w:rFonts w:hint="eastAsia" w:ascii="仿宋" w:hAnsi="仿宋" w:eastAsia="仿宋" w:cs="仿宋"/>
                <w:sz w:val="30"/>
                <w:szCs w:val="30"/>
                <w:lang w:val="en-US" w:eastAsia="zh-CN" w:bidi="ar"/>
              </w:rPr>
              <w:t>：</w:t>
            </w:r>
            <w:r>
              <w:rPr>
                <w:rStyle w:val="17"/>
                <w:rFonts w:hint="eastAsia" w:ascii="仿宋" w:hAnsi="仿宋" w:eastAsia="仿宋" w:cs="仿宋"/>
                <w:sz w:val="30"/>
                <w:szCs w:val="30"/>
                <w:lang w:val="en-US" w:eastAsia="zh-CN" w:bidi="ar"/>
              </w:rPr>
              <w:t xml:space="preserve"> ①结果异议应急方案</w:t>
            </w:r>
            <w:r>
              <w:rPr>
                <w:rStyle w:val="19"/>
                <w:rFonts w:hint="eastAsia" w:ascii="仿宋" w:hAnsi="仿宋" w:eastAsia="仿宋" w:cs="仿宋"/>
                <w:sz w:val="30"/>
                <w:szCs w:val="30"/>
                <w:lang w:val="en-US" w:eastAsia="zh-CN" w:bidi="ar"/>
              </w:rPr>
              <w:t>；</w:t>
            </w:r>
            <w:r>
              <w:rPr>
                <w:rStyle w:val="17"/>
                <w:rFonts w:hint="eastAsia" w:ascii="仿宋" w:hAnsi="仿宋" w:eastAsia="仿宋" w:cs="仿宋"/>
                <w:sz w:val="30"/>
                <w:szCs w:val="30"/>
                <w:lang w:val="en-US" w:eastAsia="zh-CN" w:bidi="ar"/>
              </w:rPr>
              <w:t>②报告丢失应急方案</w:t>
            </w:r>
            <w:r>
              <w:rPr>
                <w:rStyle w:val="19"/>
                <w:rFonts w:hint="eastAsia" w:ascii="仿宋" w:hAnsi="仿宋" w:eastAsia="仿宋" w:cs="仿宋"/>
                <w:sz w:val="30"/>
                <w:szCs w:val="30"/>
                <w:lang w:val="en-US" w:eastAsia="zh-CN" w:bidi="ar"/>
              </w:rPr>
              <w:t>；</w:t>
            </w:r>
            <w:r>
              <w:rPr>
                <w:rStyle w:val="17"/>
                <w:rFonts w:hint="eastAsia" w:ascii="仿宋" w:hAnsi="仿宋" w:eastAsia="仿宋" w:cs="仿宋"/>
                <w:sz w:val="30"/>
                <w:szCs w:val="30"/>
                <w:lang w:val="en-US" w:eastAsia="zh-CN" w:bidi="ar"/>
              </w:rPr>
              <w:t>③售后支持应急方案</w:t>
            </w:r>
            <w:r>
              <w:rPr>
                <w:rStyle w:val="19"/>
                <w:rFonts w:hint="eastAsia" w:ascii="仿宋" w:hAnsi="仿宋" w:eastAsia="仿宋" w:cs="仿宋"/>
                <w:sz w:val="30"/>
                <w:szCs w:val="30"/>
                <w:lang w:val="en-US" w:eastAsia="zh-CN" w:bidi="ar"/>
              </w:rPr>
              <w:t>；</w:t>
            </w:r>
            <w:r>
              <w:rPr>
                <w:rStyle w:val="17"/>
                <w:rFonts w:hint="eastAsia" w:ascii="仿宋" w:hAnsi="仿宋" w:eastAsia="仿宋" w:cs="仿宋"/>
                <w:sz w:val="30"/>
                <w:szCs w:val="30"/>
                <w:lang w:val="en-US" w:eastAsia="zh-CN" w:bidi="ar"/>
              </w:rPr>
              <w:t>④仪器、分析软件故障维修应急方案</w:t>
            </w:r>
            <w:r>
              <w:rPr>
                <w:rStyle w:val="19"/>
                <w:rFonts w:hint="eastAsia" w:ascii="仿宋" w:hAnsi="仿宋" w:eastAsia="仿宋" w:cs="仿宋"/>
                <w:sz w:val="30"/>
                <w:szCs w:val="30"/>
                <w:lang w:val="en-US" w:eastAsia="zh-CN" w:bidi="ar"/>
              </w:rPr>
              <w:t>；</w:t>
            </w:r>
            <w:r>
              <w:rPr>
                <w:rStyle w:val="17"/>
                <w:rFonts w:hint="eastAsia" w:ascii="仿宋" w:hAnsi="仿宋" w:eastAsia="仿宋" w:cs="仿宋"/>
                <w:sz w:val="30"/>
                <w:szCs w:val="30"/>
                <w:lang w:val="en-US" w:eastAsia="zh-CN" w:bidi="ar"/>
              </w:rPr>
              <w:t>⑤提供特急标本优先加急特事特办服务</w:t>
            </w:r>
            <w:r>
              <w:rPr>
                <w:rStyle w:val="19"/>
                <w:rFonts w:hint="eastAsia" w:ascii="仿宋" w:hAnsi="仿宋" w:eastAsia="仿宋" w:cs="仿宋"/>
                <w:sz w:val="30"/>
                <w:szCs w:val="30"/>
                <w:lang w:val="en-US" w:eastAsia="zh-CN" w:bidi="ar"/>
              </w:rPr>
              <w:t>；</w:t>
            </w:r>
            <w:r>
              <w:rPr>
                <w:rStyle w:val="17"/>
                <w:rFonts w:hint="eastAsia" w:ascii="仿宋" w:hAnsi="仿宋" w:eastAsia="仿宋" w:cs="仿宋"/>
                <w:sz w:val="30"/>
                <w:szCs w:val="30"/>
                <w:lang w:val="en-US" w:eastAsia="zh-CN" w:bidi="ar"/>
              </w:rPr>
              <w:t>⑥其他相关应急处理。对以上内容进行综合评估</w:t>
            </w:r>
            <w:r>
              <w:rPr>
                <w:rStyle w:val="19"/>
                <w:rFonts w:hint="eastAsia" w:ascii="仿宋" w:hAnsi="仿宋" w:eastAsia="仿宋" w:cs="仿宋"/>
                <w:sz w:val="30"/>
                <w:szCs w:val="30"/>
                <w:lang w:val="en-US" w:eastAsia="zh-CN" w:bidi="ar"/>
              </w:rPr>
              <w:t>，</w:t>
            </w:r>
            <w:r>
              <w:rPr>
                <w:rStyle w:val="17"/>
                <w:rFonts w:hint="eastAsia" w:ascii="仿宋" w:hAnsi="仿宋" w:eastAsia="仿宋" w:cs="仿宋"/>
                <w:sz w:val="30"/>
                <w:szCs w:val="30"/>
                <w:lang w:val="en-US" w:eastAsia="zh-CN" w:bidi="ar"/>
              </w:rPr>
              <w:t>要求方案内容全面完整</w:t>
            </w:r>
            <w:r>
              <w:rPr>
                <w:rStyle w:val="19"/>
                <w:rFonts w:hint="eastAsia" w:ascii="仿宋" w:hAnsi="仿宋" w:eastAsia="仿宋" w:cs="仿宋"/>
                <w:sz w:val="30"/>
                <w:szCs w:val="30"/>
                <w:lang w:val="en-US" w:eastAsia="zh-CN" w:bidi="ar"/>
              </w:rPr>
              <w:t>，</w:t>
            </w:r>
            <w:r>
              <w:rPr>
                <w:rStyle w:val="17"/>
                <w:rFonts w:hint="eastAsia" w:ascii="仿宋" w:hAnsi="仿宋" w:eastAsia="仿宋" w:cs="仿宋"/>
                <w:sz w:val="30"/>
                <w:szCs w:val="30"/>
                <w:lang w:val="en-US" w:eastAsia="zh-CN" w:bidi="ar"/>
              </w:rPr>
              <w:t>能够根据项目实际情况</w:t>
            </w:r>
            <w:r>
              <w:rPr>
                <w:rStyle w:val="19"/>
                <w:rFonts w:hint="eastAsia" w:ascii="仿宋" w:hAnsi="仿宋" w:eastAsia="仿宋" w:cs="仿宋"/>
                <w:sz w:val="30"/>
                <w:szCs w:val="30"/>
                <w:lang w:val="en-US" w:eastAsia="zh-CN" w:bidi="ar"/>
              </w:rPr>
              <w:t>，</w:t>
            </w:r>
            <w:r>
              <w:rPr>
                <w:rStyle w:val="17"/>
                <w:rFonts w:hint="eastAsia" w:ascii="仿宋" w:hAnsi="仿宋" w:eastAsia="仿宋" w:cs="仿宋"/>
                <w:sz w:val="30"/>
                <w:szCs w:val="30"/>
                <w:lang w:val="en-US" w:eastAsia="zh-CN" w:bidi="ar"/>
              </w:rPr>
              <w:t>结合采购需求</w:t>
            </w:r>
            <w:r>
              <w:rPr>
                <w:rStyle w:val="19"/>
                <w:rFonts w:hint="eastAsia" w:ascii="仿宋" w:hAnsi="仿宋" w:eastAsia="仿宋" w:cs="仿宋"/>
                <w:sz w:val="30"/>
                <w:szCs w:val="30"/>
                <w:lang w:val="en-US" w:eastAsia="zh-CN" w:bidi="ar"/>
              </w:rPr>
              <w:t>，</w:t>
            </w:r>
            <w:r>
              <w:rPr>
                <w:rStyle w:val="17"/>
                <w:rFonts w:hint="eastAsia" w:ascii="仿宋" w:hAnsi="仿宋" w:eastAsia="仿宋" w:cs="仿宋"/>
                <w:sz w:val="30"/>
                <w:szCs w:val="30"/>
                <w:lang w:val="en-US" w:eastAsia="zh-CN" w:bidi="ar"/>
              </w:rPr>
              <w:t>提出合理、有效、逻辑清晰的方案。</w:t>
            </w:r>
            <w:r>
              <w:rPr>
                <w:rStyle w:val="17"/>
                <w:rFonts w:hint="eastAsia" w:ascii="仿宋" w:hAnsi="仿宋" w:eastAsia="仿宋" w:cs="仿宋"/>
                <w:sz w:val="30"/>
                <w:szCs w:val="30"/>
                <w:lang w:val="en-US" w:eastAsia="zh-CN" w:bidi="ar"/>
              </w:rPr>
              <w:br w:type="textWrapping"/>
            </w:r>
            <w:r>
              <w:rPr>
                <w:rStyle w:val="17"/>
                <w:rFonts w:hint="eastAsia" w:ascii="仿宋" w:hAnsi="仿宋" w:eastAsia="仿宋" w:cs="仿宋"/>
                <w:sz w:val="30"/>
                <w:szCs w:val="30"/>
                <w:lang w:val="en-US" w:eastAsia="zh-CN" w:bidi="ar"/>
              </w:rPr>
              <w:t>提供方案得基础分7分。</w:t>
            </w:r>
            <w:r>
              <w:rPr>
                <w:rFonts w:hint="eastAsia" w:ascii="仿宋" w:hAnsi="仿宋" w:eastAsia="仿宋" w:cs="仿宋"/>
                <w:b/>
                <w:bCs/>
                <w:i w:val="0"/>
                <w:iCs w:val="0"/>
                <w:color w:val="000000"/>
                <w:kern w:val="0"/>
                <w:sz w:val="30"/>
                <w:szCs w:val="30"/>
                <w:u w:val="none"/>
                <w:lang w:val="en-US" w:eastAsia="zh-CN" w:bidi="ar"/>
              </w:rPr>
              <w:t>额外加分标准：</w:t>
            </w:r>
            <w:r>
              <w:rPr>
                <w:rStyle w:val="17"/>
                <w:rFonts w:hint="eastAsia" w:ascii="仿宋" w:hAnsi="仿宋" w:eastAsia="仿宋" w:cs="仿宋"/>
                <w:sz w:val="30"/>
                <w:szCs w:val="30"/>
                <w:lang w:val="en-US" w:eastAsia="zh-CN" w:bidi="ar"/>
              </w:rPr>
              <w:t xml:space="preserve">                                                              </w:t>
            </w:r>
            <w:r>
              <w:rPr>
                <w:rStyle w:val="17"/>
                <w:rFonts w:hint="eastAsia" w:ascii="仿宋" w:hAnsi="仿宋" w:eastAsia="仿宋" w:cs="仿宋"/>
                <w:sz w:val="30"/>
                <w:szCs w:val="30"/>
                <w:lang w:val="en-US" w:eastAsia="zh-CN" w:bidi="ar"/>
              </w:rPr>
              <w:br w:type="textWrapping"/>
            </w:r>
            <w:r>
              <w:rPr>
                <w:rStyle w:val="17"/>
                <w:rFonts w:hint="eastAsia" w:ascii="仿宋" w:hAnsi="仿宋" w:eastAsia="仿宋" w:cs="仿宋"/>
                <w:sz w:val="30"/>
                <w:szCs w:val="30"/>
                <w:lang w:val="en-US" w:eastAsia="zh-CN" w:bidi="ar"/>
              </w:rPr>
              <w:t>方案内容全面、逻辑合理，具备极强的落地执行性，得3分；</w:t>
            </w:r>
            <w:r>
              <w:rPr>
                <w:rStyle w:val="17"/>
                <w:rFonts w:hint="eastAsia" w:ascii="仿宋" w:hAnsi="仿宋" w:eastAsia="仿宋" w:cs="仿宋"/>
                <w:sz w:val="30"/>
                <w:szCs w:val="30"/>
                <w:lang w:val="en-US" w:eastAsia="zh-CN" w:bidi="ar"/>
              </w:rPr>
              <w:br w:type="textWrapping"/>
            </w:r>
            <w:r>
              <w:rPr>
                <w:rStyle w:val="17"/>
                <w:rFonts w:hint="eastAsia" w:ascii="仿宋" w:hAnsi="仿宋" w:eastAsia="仿宋" w:cs="仿宋"/>
                <w:sz w:val="30"/>
                <w:szCs w:val="30"/>
                <w:lang w:val="en-US" w:eastAsia="zh-CN" w:bidi="ar"/>
              </w:rPr>
              <w:t>方案较为全面、基本合理，具备一定执行性，得2分；</w:t>
            </w:r>
            <w:r>
              <w:rPr>
                <w:rStyle w:val="17"/>
                <w:rFonts w:hint="eastAsia" w:ascii="仿宋" w:hAnsi="仿宋" w:eastAsia="仿宋" w:cs="仿宋"/>
                <w:sz w:val="30"/>
                <w:szCs w:val="30"/>
                <w:lang w:val="en-US" w:eastAsia="zh-CN" w:bidi="ar"/>
              </w:rPr>
              <w:br w:type="textWrapping"/>
            </w:r>
            <w:r>
              <w:rPr>
                <w:rStyle w:val="17"/>
                <w:rFonts w:hint="eastAsia" w:ascii="仿宋" w:hAnsi="仿宋" w:eastAsia="仿宋" w:cs="仿宋"/>
                <w:sz w:val="30"/>
                <w:szCs w:val="30"/>
                <w:lang w:val="en-US" w:eastAsia="zh-CN" w:bidi="ar"/>
              </w:rPr>
              <w:t xml:space="preserve"> 方案不够全面、合理性不足，执行性较弱，得1分； </w:t>
            </w:r>
            <w:r>
              <w:rPr>
                <w:rStyle w:val="17"/>
                <w:rFonts w:hint="eastAsia" w:ascii="仿宋" w:hAnsi="仿宋" w:eastAsia="仿宋" w:cs="仿宋"/>
                <w:sz w:val="30"/>
                <w:szCs w:val="30"/>
                <w:lang w:val="en-US" w:eastAsia="zh-CN" w:bidi="ar"/>
              </w:rPr>
              <w:br w:type="textWrapping"/>
            </w:r>
            <w:r>
              <w:rPr>
                <w:rStyle w:val="17"/>
                <w:rFonts w:hint="eastAsia" w:ascii="仿宋" w:hAnsi="仿宋" w:eastAsia="仿宋" w:cs="仿宋"/>
                <w:sz w:val="30"/>
                <w:szCs w:val="30"/>
                <w:lang w:val="en-US" w:eastAsia="zh-CN" w:bidi="ar"/>
              </w:rPr>
              <w:t xml:space="preserve">未提供，不得分。                                                                             </w:t>
            </w:r>
          </w:p>
        </w:tc>
      </w:tr>
      <w:tr w14:paraId="299E3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3" w:hRule="atLeast"/>
        </w:trPr>
        <w:tc>
          <w:tcPr>
            <w:tcW w:w="1413" w:type="dxa"/>
            <w:vMerge w:val="continue"/>
            <w:tcBorders>
              <w:top w:val="single" w:color="000000" w:sz="4" w:space="0"/>
              <w:left w:val="single" w:color="000000" w:sz="4" w:space="0"/>
              <w:bottom w:val="nil"/>
              <w:right w:val="single" w:color="000000" w:sz="4" w:space="0"/>
            </w:tcBorders>
            <w:shd w:val="clear" w:color="auto" w:fill="auto"/>
            <w:vAlign w:val="center"/>
          </w:tcPr>
          <w:p w14:paraId="7AB0167C">
            <w:pPr>
              <w:keepNext w:val="0"/>
              <w:keepLines w:val="0"/>
              <w:suppressLineNumbers w:val="0"/>
              <w:spacing w:before="0" w:beforeAutospacing="0" w:after="0" w:afterAutospacing="0"/>
              <w:ind w:left="0" w:right="0"/>
              <w:jc w:val="center"/>
              <w:rPr>
                <w:rFonts w:hint="eastAsia" w:ascii="仿宋" w:hAnsi="仿宋" w:eastAsia="仿宋" w:cs="仿宋"/>
                <w:b/>
                <w:bCs/>
                <w:i w:val="0"/>
                <w:iCs w:val="0"/>
                <w:color w:val="000000"/>
                <w:sz w:val="30"/>
                <w:szCs w:val="30"/>
                <w:u w:val="none"/>
              </w:rPr>
            </w:pP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5F02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30"/>
                <w:szCs w:val="30"/>
                <w:u w:val="none"/>
              </w:rPr>
            </w:pPr>
            <w:r>
              <w:rPr>
                <w:rFonts w:hint="eastAsia" w:ascii="仿宋" w:hAnsi="仿宋" w:eastAsia="仿宋" w:cs="仿宋"/>
                <w:b/>
                <w:bCs/>
                <w:i w:val="0"/>
                <w:iCs w:val="0"/>
                <w:color w:val="000000"/>
                <w:kern w:val="0"/>
                <w:sz w:val="30"/>
                <w:szCs w:val="30"/>
                <w:u w:val="none"/>
                <w:lang w:val="en-US" w:eastAsia="zh-CN" w:bidi="ar"/>
              </w:rPr>
              <w:t>安全方案 (9分)</w:t>
            </w:r>
          </w:p>
        </w:tc>
        <w:tc>
          <w:tcPr>
            <w:tcW w:w="7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7F183">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根据投标人提供的安全方案进行评价，内容包括但不限于以下内容：①配送环境（冷链运输）及运输安全方案；②样品储存环境安全方案；③检测团队安全保障及设备安全操作方案。对以上内容进行综合评估，要求方案内容全面完整，能够根据项目实际情况，结合采购需求，提出合理、有效 、逻辑清晰的方案。</w:t>
            </w:r>
            <w:r>
              <w:rPr>
                <w:rFonts w:hint="eastAsia" w:ascii="仿宋" w:hAnsi="仿宋" w:eastAsia="仿宋" w:cs="仿宋"/>
                <w:i w:val="0"/>
                <w:iCs w:val="0"/>
                <w:color w:val="000000"/>
                <w:kern w:val="0"/>
                <w:sz w:val="30"/>
                <w:szCs w:val="30"/>
                <w:u w:val="none"/>
                <w:lang w:val="en-US" w:eastAsia="zh-CN" w:bidi="ar"/>
              </w:rPr>
              <w:br w:type="textWrapping"/>
            </w:r>
            <w:r>
              <w:rPr>
                <w:rFonts w:hint="eastAsia" w:ascii="仿宋" w:hAnsi="仿宋" w:eastAsia="仿宋" w:cs="仿宋"/>
                <w:i w:val="0"/>
                <w:iCs w:val="0"/>
                <w:color w:val="000000"/>
                <w:kern w:val="0"/>
                <w:sz w:val="30"/>
                <w:szCs w:val="30"/>
                <w:u w:val="none"/>
                <w:lang w:val="en-US" w:eastAsia="zh-CN" w:bidi="ar"/>
              </w:rPr>
              <w:t>提供方案得基础分6分。</w:t>
            </w:r>
            <w:r>
              <w:rPr>
                <w:rFonts w:hint="eastAsia" w:ascii="仿宋" w:hAnsi="仿宋" w:eastAsia="仿宋" w:cs="仿宋"/>
                <w:b/>
                <w:bCs/>
                <w:i w:val="0"/>
                <w:iCs w:val="0"/>
                <w:color w:val="000000"/>
                <w:kern w:val="0"/>
                <w:sz w:val="30"/>
                <w:szCs w:val="30"/>
                <w:u w:val="none"/>
                <w:lang w:val="en-US" w:eastAsia="zh-CN" w:bidi="ar"/>
              </w:rPr>
              <w:t xml:space="preserve">额外加分标准： </w:t>
            </w:r>
            <w:r>
              <w:rPr>
                <w:rFonts w:hint="eastAsia" w:ascii="仿宋" w:hAnsi="仿宋" w:eastAsia="仿宋" w:cs="仿宋"/>
                <w:i w:val="0"/>
                <w:iCs w:val="0"/>
                <w:color w:val="000000"/>
                <w:kern w:val="0"/>
                <w:sz w:val="30"/>
                <w:szCs w:val="30"/>
                <w:u w:val="none"/>
                <w:lang w:val="en-US" w:eastAsia="zh-CN" w:bidi="ar"/>
              </w:rPr>
              <w:t xml:space="preserve">                                                            </w:t>
            </w:r>
            <w:r>
              <w:rPr>
                <w:rFonts w:hint="eastAsia" w:ascii="仿宋" w:hAnsi="仿宋" w:eastAsia="仿宋" w:cs="仿宋"/>
                <w:i w:val="0"/>
                <w:iCs w:val="0"/>
                <w:color w:val="000000"/>
                <w:kern w:val="0"/>
                <w:sz w:val="30"/>
                <w:szCs w:val="30"/>
                <w:u w:val="none"/>
                <w:lang w:val="en-US" w:eastAsia="zh-CN" w:bidi="ar"/>
              </w:rPr>
              <w:br w:type="textWrapping"/>
            </w:r>
            <w:r>
              <w:rPr>
                <w:rFonts w:hint="eastAsia" w:ascii="仿宋" w:hAnsi="仿宋" w:eastAsia="仿宋" w:cs="仿宋"/>
                <w:i w:val="0"/>
                <w:iCs w:val="0"/>
                <w:color w:val="000000"/>
                <w:kern w:val="0"/>
                <w:sz w:val="30"/>
                <w:szCs w:val="30"/>
                <w:u w:val="none"/>
                <w:lang w:val="en-US" w:eastAsia="zh-CN" w:bidi="ar"/>
              </w:rPr>
              <w:t xml:space="preserve"> 方案内容全面、逻辑合理，具备极强的落地执行性，得3分；</w:t>
            </w:r>
            <w:r>
              <w:rPr>
                <w:rFonts w:hint="eastAsia" w:ascii="仿宋" w:hAnsi="仿宋" w:eastAsia="仿宋" w:cs="仿宋"/>
                <w:i w:val="0"/>
                <w:iCs w:val="0"/>
                <w:color w:val="000000"/>
                <w:kern w:val="0"/>
                <w:sz w:val="30"/>
                <w:szCs w:val="30"/>
                <w:u w:val="none"/>
                <w:lang w:val="en-US" w:eastAsia="zh-CN" w:bidi="ar"/>
              </w:rPr>
              <w:br w:type="textWrapping"/>
            </w:r>
            <w:r>
              <w:rPr>
                <w:rFonts w:hint="eastAsia" w:ascii="仿宋" w:hAnsi="仿宋" w:eastAsia="仿宋" w:cs="仿宋"/>
                <w:i w:val="0"/>
                <w:iCs w:val="0"/>
                <w:color w:val="000000"/>
                <w:kern w:val="0"/>
                <w:sz w:val="30"/>
                <w:szCs w:val="30"/>
                <w:u w:val="none"/>
                <w:lang w:val="en-US" w:eastAsia="zh-CN" w:bidi="ar"/>
              </w:rPr>
              <w:t>方案较为全面、基本合理，具备一定执行性，得2分；</w:t>
            </w:r>
            <w:r>
              <w:rPr>
                <w:rFonts w:hint="eastAsia" w:ascii="仿宋" w:hAnsi="仿宋" w:eastAsia="仿宋" w:cs="仿宋"/>
                <w:i w:val="0"/>
                <w:iCs w:val="0"/>
                <w:color w:val="000000"/>
                <w:kern w:val="0"/>
                <w:sz w:val="30"/>
                <w:szCs w:val="30"/>
                <w:u w:val="none"/>
                <w:lang w:val="en-US" w:eastAsia="zh-CN" w:bidi="ar"/>
              </w:rPr>
              <w:br w:type="textWrapping"/>
            </w:r>
            <w:r>
              <w:rPr>
                <w:rFonts w:hint="eastAsia" w:ascii="仿宋" w:hAnsi="仿宋" w:eastAsia="仿宋" w:cs="仿宋"/>
                <w:i w:val="0"/>
                <w:iCs w:val="0"/>
                <w:color w:val="000000"/>
                <w:kern w:val="0"/>
                <w:sz w:val="30"/>
                <w:szCs w:val="30"/>
                <w:u w:val="none"/>
                <w:lang w:val="en-US" w:eastAsia="zh-CN" w:bidi="ar"/>
              </w:rPr>
              <w:t xml:space="preserve"> 方案不够全面、合理性不足，执行性较弱，得1分； </w:t>
            </w:r>
            <w:r>
              <w:rPr>
                <w:rFonts w:hint="eastAsia" w:ascii="仿宋" w:hAnsi="仿宋" w:eastAsia="仿宋" w:cs="仿宋"/>
                <w:i w:val="0"/>
                <w:iCs w:val="0"/>
                <w:color w:val="000000"/>
                <w:kern w:val="0"/>
                <w:sz w:val="30"/>
                <w:szCs w:val="30"/>
                <w:u w:val="none"/>
                <w:lang w:val="en-US" w:eastAsia="zh-CN" w:bidi="ar"/>
              </w:rPr>
              <w:br w:type="textWrapping"/>
            </w:r>
            <w:r>
              <w:rPr>
                <w:rFonts w:hint="eastAsia" w:ascii="仿宋" w:hAnsi="仿宋" w:eastAsia="仿宋" w:cs="仿宋"/>
                <w:i w:val="0"/>
                <w:iCs w:val="0"/>
                <w:color w:val="000000"/>
                <w:kern w:val="0"/>
                <w:sz w:val="30"/>
                <w:szCs w:val="30"/>
                <w:u w:val="none"/>
                <w:lang w:val="en-US" w:eastAsia="zh-CN" w:bidi="ar"/>
              </w:rPr>
              <w:t xml:space="preserve">未提供，不得分。                                                                             </w:t>
            </w:r>
          </w:p>
        </w:tc>
      </w:tr>
      <w:tr w14:paraId="05017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4" w:hRule="atLeast"/>
        </w:trPr>
        <w:tc>
          <w:tcPr>
            <w:tcW w:w="1413" w:type="dxa"/>
            <w:vMerge w:val="continue"/>
            <w:tcBorders>
              <w:top w:val="single" w:color="000000" w:sz="4" w:space="0"/>
              <w:left w:val="single" w:color="000000" w:sz="4" w:space="0"/>
              <w:bottom w:val="nil"/>
              <w:right w:val="single" w:color="000000" w:sz="4" w:space="0"/>
            </w:tcBorders>
            <w:shd w:val="clear" w:color="auto" w:fill="auto"/>
            <w:vAlign w:val="center"/>
          </w:tcPr>
          <w:p w14:paraId="0BBEEA0E">
            <w:pPr>
              <w:keepNext w:val="0"/>
              <w:keepLines w:val="0"/>
              <w:suppressLineNumbers w:val="0"/>
              <w:spacing w:before="0" w:beforeAutospacing="0" w:after="0" w:afterAutospacing="0"/>
              <w:ind w:left="0" w:right="0"/>
              <w:jc w:val="center"/>
              <w:rPr>
                <w:rFonts w:hint="eastAsia" w:ascii="仿宋" w:hAnsi="仿宋" w:eastAsia="仿宋" w:cs="仿宋"/>
                <w:b/>
                <w:bCs/>
                <w:i w:val="0"/>
                <w:iCs w:val="0"/>
                <w:color w:val="000000"/>
                <w:sz w:val="30"/>
                <w:szCs w:val="30"/>
                <w:u w:val="none"/>
              </w:rPr>
            </w:pP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FB67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30"/>
                <w:szCs w:val="30"/>
                <w:u w:val="none"/>
              </w:rPr>
            </w:pPr>
            <w:r>
              <w:rPr>
                <w:rFonts w:hint="eastAsia" w:ascii="仿宋" w:hAnsi="仿宋" w:eastAsia="仿宋" w:cs="仿宋"/>
                <w:b/>
                <w:bCs/>
                <w:i w:val="0"/>
                <w:iCs w:val="0"/>
                <w:color w:val="000000"/>
                <w:kern w:val="0"/>
                <w:sz w:val="30"/>
                <w:szCs w:val="30"/>
                <w:u w:val="none"/>
                <w:lang w:val="en-US" w:eastAsia="zh-CN" w:bidi="ar"/>
              </w:rPr>
              <w:t>售后服务方案 (8分)</w:t>
            </w:r>
          </w:p>
        </w:tc>
        <w:tc>
          <w:tcPr>
            <w:tcW w:w="7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745CE">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根据投标人提供的售后服务方案进行评价，内容包括但不限于以下内容：①服务响应与支持；②服务流程优化承诺；③培训与教育；④对检验结果提供必要的科研解释及与医生有效沟通方案。对以上内容进行综合评估，要求方案内容全面完整，能够根据项目实际情况，结合采购需求，提出合理、有效、逻辑清晰的方案。提供方案得基础分5分。</w:t>
            </w:r>
            <w:r>
              <w:rPr>
                <w:rFonts w:hint="eastAsia" w:ascii="仿宋" w:hAnsi="仿宋" w:eastAsia="仿宋" w:cs="仿宋"/>
                <w:b/>
                <w:bCs/>
                <w:i w:val="0"/>
                <w:iCs w:val="0"/>
                <w:color w:val="000000"/>
                <w:kern w:val="0"/>
                <w:sz w:val="30"/>
                <w:szCs w:val="30"/>
                <w:u w:val="none"/>
                <w:lang w:val="en-US" w:eastAsia="zh-CN" w:bidi="ar"/>
              </w:rPr>
              <w:t xml:space="preserve">额外加分标准：  </w:t>
            </w:r>
            <w:r>
              <w:rPr>
                <w:rFonts w:hint="eastAsia" w:ascii="仿宋" w:hAnsi="仿宋" w:eastAsia="仿宋" w:cs="仿宋"/>
                <w:i w:val="0"/>
                <w:iCs w:val="0"/>
                <w:color w:val="000000"/>
                <w:kern w:val="0"/>
                <w:sz w:val="30"/>
                <w:szCs w:val="30"/>
                <w:u w:val="none"/>
                <w:lang w:val="en-US" w:eastAsia="zh-CN" w:bidi="ar"/>
              </w:rPr>
              <w:t xml:space="preserve">                                                          </w:t>
            </w:r>
            <w:r>
              <w:rPr>
                <w:rFonts w:hint="eastAsia" w:ascii="仿宋" w:hAnsi="仿宋" w:eastAsia="仿宋" w:cs="仿宋"/>
                <w:i w:val="0"/>
                <w:iCs w:val="0"/>
                <w:color w:val="000000"/>
                <w:kern w:val="0"/>
                <w:sz w:val="30"/>
                <w:szCs w:val="30"/>
                <w:u w:val="none"/>
                <w:lang w:val="en-US" w:eastAsia="zh-CN" w:bidi="ar"/>
              </w:rPr>
              <w:br w:type="textWrapping"/>
            </w:r>
            <w:r>
              <w:rPr>
                <w:rFonts w:hint="eastAsia" w:ascii="仿宋" w:hAnsi="仿宋" w:eastAsia="仿宋" w:cs="仿宋"/>
                <w:i w:val="0"/>
                <w:iCs w:val="0"/>
                <w:color w:val="000000"/>
                <w:kern w:val="0"/>
                <w:sz w:val="30"/>
                <w:szCs w:val="30"/>
                <w:u w:val="none"/>
                <w:lang w:val="en-US" w:eastAsia="zh-CN" w:bidi="ar"/>
              </w:rPr>
              <w:t>方案内容全面、逻辑合理，具备极强的落地执行性，得3分；</w:t>
            </w:r>
            <w:r>
              <w:rPr>
                <w:rFonts w:hint="eastAsia" w:ascii="仿宋" w:hAnsi="仿宋" w:eastAsia="仿宋" w:cs="仿宋"/>
                <w:i w:val="0"/>
                <w:iCs w:val="0"/>
                <w:color w:val="000000"/>
                <w:kern w:val="0"/>
                <w:sz w:val="30"/>
                <w:szCs w:val="30"/>
                <w:u w:val="none"/>
                <w:lang w:val="en-US" w:eastAsia="zh-CN" w:bidi="ar"/>
              </w:rPr>
              <w:br w:type="textWrapping"/>
            </w:r>
            <w:r>
              <w:rPr>
                <w:rFonts w:hint="eastAsia" w:ascii="仿宋" w:hAnsi="仿宋" w:eastAsia="仿宋" w:cs="仿宋"/>
                <w:i w:val="0"/>
                <w:iCs w:val="0"/>
                <w:color w:val="000000"/>
                <w:kern w:val="0"/>
                <w:sz w:val="30"/>
                <w:szCs w:val="30"/>
                <w:u w:val="none"/>
                <w:lang w:val="en-US" w:eastAsia="zh-CN" w:bidi="ar"/>
              </w:rPr>
              <w:t>方案较为全面、基本合理，具备一定执行性，得2分；</w:t>
            </w:r>
            <w:r>
              <w:rPr>
                <w:rFonts w:hint="eastAsia" w:ascii="仿宋" w:hAnsi="仿宋" w:eastAsia="仿宋" w:cs="仿宋"/>
                <w:i w:val="0"/>
                <w:iCs w:val="0"/>
                <w:color w:val="000000"/>
                <w:kern w:val="0"/>
                <w:sz w:val="30"/>
                <w:szCs w:val="30"/>
                <w:u w:val="none"/>
                <w:lang w:val="en-US" w:eastAsia="zh-CN" w:bidi="ar"/>
              </w:rPr>
              <w:br w:type="textWrapping"/>
            </w:r>
            <w:r>
              <w:rPr>
                <w:rFonts w:hint="eastAsia" w:ascii="仿宋" w:hAnsi="仿宋" w:eastAsia="仿宋" w:cs="仿宋"/>
                <w:i w:val="0"/>
                <w:iCs w:val="0"/>
                <w:color w:val="000000"/>
                <w:kern w:val="0"/>
                <w:sz w:val="30"/>
                <w:szCs w:val="30"/>
                <w:u w:val="none"/>
                <w:lang w:val="en-US" w:eastAsia="zh-CN" w:bidi="ar"/>
              </w:rPr>
              <w:t xml:space="preserve">方案不够全面、合理性不足，执行性较弱，得1分； </w:t>
            </w:r>
            <w:r>
              <w:rPr>
                <w:rFonts w:hint="eastAsia" w:ascii="仿宋" w:hAnsi="仿宋" w:eastAsia="仿宋" w:cs="仿宋"/>
                <w:i w:val="0"/>
                <w:iCs w:val="0"/>
                <w:color w:val="000000"/>
                <w:kern w:val="0"/>
                <w:sz w:val="30"/>
                <w:szCs w:val="30"/>
                <w:u w:val="none"/>
                <w:lang w:val="en-US" w:eastAsia="zh-CN" w:bidi="ar"/>
              </w:rPr>
              <w:br w:type="textWrapping"/>
            </w:r>
            <w:r>
              <w:rPr>
                <w:rFonts w:hint="eastAsia" w:ascii="仿宋" w:hAnsi="仿宋" w:eastAsia="仿宋" w:cs="仿宋"/>
                <w:i w:val="0"/>
                <w:iCs w:val="0"/>
                <w:color w:val="000000"/>
                <w:kern w:val="0"/>
                <w:sz w:val="30"/>
                <w:szCs w:val="30"/>
                <w:u w:val="none"/>
                <w:lang w:val="en-US" w:eastAsia="zh-CN" w:bidi="ar"/>
              </w:rPr>
              <w:t xml:space="preserve">未提供，不得分。                                                                             </w:t>
            </w:r>
          </w:p>
        </w:tc>
      </w:tr>
      <w:tr w14:paraId="69CC5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9" w:hRule="atLeast"/>
        </w:trPr>
        <w:tc>
          <w:tcPr>
            <w:tcW w:w="1413" w:type="dxa"/>
            <w:vMerge w:val="continue"/>
            <w:tcBorders>
              <w:top w:val="single" w:color="000000" w:sz="4" w:space="0"/>
              <w:left w:val="single" w:color="000000" w:sz="4" w:space="0"/>
              <w:bottom w:val="nil"/>
              <w:right w:val="single" w:color="000000" w:sz="4" w:space="0"/>
            </w:tcBorders>
            <w:shd w:val="clear" w:color="auto" w:fill="auto"/>
            <w:vAlign w:val="center"/>
          </w:tcPr>
          <w:p w14:paraId="37B6DD05">
            <w:pPr>
              <w:keepNext w:val="0"/>
              <w:keepLines w:val="0"/>
              <w:suppressLineNumbers w:val="0"/>
              <w:spacing w:before="0" w:beforeAutospacing="0" w:after="0" w:afterAutospacing="0"/>
              <w:ind w:left="0" w:right="0"/>
              <w:jc w:val="center"/>
              <w:rPr>
                <w:rFonts w:hint="eastAsia" w:ascii="仿宋" w:hAnsi="仿宋" w:eastAsia="仿宋" w:cs="仿宋"/>
                <w:b/>
                <w:bCs/>
                <w:i w:val="0"/>
                <w:iCs w:val="0"/>
                <w:color w:val="000000"/>
                <w:sz w:val="30"/>
                <w:szCs w:val="30"/>
                <w:u w:val="none"/>
              </w:rPr>
            </w:pP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56E7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30"/>
                <w:szCs w:val="30"/>
                <w:u w:val="none"/>
              </w:rPr>
            </w:pPr>
            <w:r>
              <w:rPr>
                <w:rFonts w:hint="eastAsia" w:ascii="仿宋" w:hAnsi="仿宋" w:eastAsia="仿宋" w:cs="仿宋"/>
                <w:b/>
                <w:bCs/>
                <w:i w:val="0"/>
                <w:iCs w:val="0"/>
                <w:color w:val="000000"/>
                <w:kern w:val="0"/>
                <w:sz w:val="30"/>
                <w:szCs w:val="30"/>
                <w:u w:val="none"/>
                <w:lang w:val="en-US" w:eastAsia="zh-CN" w:bidi="ar"/>
              </w:rPr>
              <w:t>保密方案 (10分)</w:t>
            </w:r>
          </w:p>
        </w:tc>
        <w:tc>
          <w:tcPr>
            <w:tcW w:w="7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5EDD4">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根据投标人提供的保密方案进行评价，内容包括但不限于以下内容：①保密管理制度；②签署保密协议内容；③保密培训；④电子信息保密办法。对以上内容进行综合评估，要求方案内容全面完整，能够根据项目实际情况，结合采购需求，提出合理，有效，逻辑清晰的方案。提供方案得基础分7分。</w:t>
            </w:r>
            <w:r>
              <w:rPr>
                <w:rFonts w:hint="eastAsia" w:ascii="仿宋" w:hAnsi="仿宋" w:eastAsia="仿宋" w:cs="仿宋"/>
                <w:b/>
                <w:bCs/>
                <w:i w:val="0"/>
                <w:iCs w:val="0"/>
                <w:color w:val="000000"/>
                <w:kern w:val="0"/>
                <w:sz w:val="30"/>
                <w:szCs w:val="30"/>
                <w:u w:val="none"/>
                <w:lang w:val="en-US" w:eastAsia="zh-CN" w:bidi="ar"/>
              </w:rPr>
              <w:t>额外加分标准：</w:t>
            </w:r>
            <w:r>
              <w:rPr>
                <w:rFonts w:hint="eastAsia" w:ascii="仿宋" w:hAnsi="仿宋" w:eastAsia="仿宋" w:cs="仿宋"/>
                <w:i w:val="0"/>
                <w:iCs w:val="0"/>
                <w:color w:val="000000"/>
                <w:kern w:val="0"/>
                <w:sz w:val="30"/>
                <w:szCs w:val="30"/>
                <w:u w:val="none"/>
                <w:lang w:val="en-US" w:eastAsia="zh-CN" w:bidi="ar"/>
              </w:rPr>
              <w:t xml:space="preserve">                                                              </w:t>
            </w:r>
            <w:r>
              <w:rPr>
                <w:rFonts w:hint="eastAsia" w:ascii="仿宋" w:hAnsi="仿宋" w:eastAsia="仿宋" w:cs="仿宋"/>
                <w:i w:val="0"/>
                <w:iCs w:val="0"/>
                <w:color w:val="000000"/>
                <w:kern w:val="0"/>
                <w:sz w:val="30"/>
                <w:szCs w:val="30"/>
                <w:u w:val="none"/>
                <w:lang w:val="en-US" w:eastAsia="zh-CN" w:bidi="ar"/>
              </w:rPr>
              <w:br w:type="textWrapping"/>
            </w:r>
            <w:r>
              <w:rPr>
                <w:rFonts w:hint="eastAsia" w:ascii="仿宋" w:hAnsi="仿宋" w:eastAsia="仿宋" w:cs="仿宋"/>
                <w:i w:val="0"/>
                <w:iCs w:val="0"/>
                <w:color w:val="000000"/>
                <w:kern w:val="0"/>
                <w:sz w:val="30"/>
                <w:szCs w:val="30"/>
                <w:u w:val="none"/>
                <w:lang w:val="en-US" w:eastAsia="zh-CN" w:bidi="ar"/>
              </w:rPr>
              <w:t>方案内容全面、逻辑合理，具备极强的落地执行性，得3分；</w:t>
            </w:r>
            <w:r>
              <w:rPr>
                <w:rFonts w:hint="eastAsia" w:ascii="仿宋" w:hAnsi="仿宋" w:eastAsia="仿宋" w:cs="仿宋"/>
                <w:i w:val="0"/>
                <w:iCs w:val="0"/>
                <w:color w:val="000000"/>
                <w:kern w:val="0"/>
                <w:sz w:val="30"/>
                <w:szCs w:val="30"/>
                <w:u w:val="none"/>
                <w:lang w:val="en-US" w:eastAsia="zh-CN" w:bidi="ar"/>
              </w:rPr>
              <w:br w:type="textWrapping"/>
            </w:r>
            <w:r>
              <w:rPr>
                <w:rFonts w:hint="eastAsia" w:ascii="仿宋" w:hAnsi="仿宋" w:eastAsia="仿宋" w:cs="仿宋"/>
                <w:i w:val="0"/>
                <w:iCs w:val="0"/>
                <w:color w:val="000000"/>
                <w:kern w:val="0"/>
                <w:sz w:val="30"/>
                <w:szCs w:val="30"/>
                <w:u w:val="none"/>
                <w:lang w:val="en-US" w:eastAsia="zh-CN" w:bidi="ar"/>
              </w:rPr>
              <w:t>方案较为全面、基本合理，具备一定执行性，得2分；</w:t>
            </w:r>
            <w:r>
              <w:rPr>
                <w:rFonts w:hint="eastAsia" w:ascii="仿宋" w:hAnsi="仿宋" w:eastAsia="仿宋" w:cs="仿宋"/>
                <w:i w:val="0"/>
                <w:iCs w:val="0"/>
                <w:color w:val="000000"/>
                <w:kern w:val="0"/>
                <w:sz w:val="30"/>
                <w:szCs w:val="30"/>
                <w:u w:val="none"/>
                <w:lang w:val="en-US" w:eastAsia="zh-CN" w:bidi="ar"/>
              </w:rPr>
              <w:br w:type="textWrapping"/>
            </w:r>
            <w:r>
              <w:rPr>
                <w:rFonts w:hint="eastAsia" w:ascii="仿宋" w:hAnsi="仿宋" w:eastAsia="仿宋" w:cs="仿宋"/>
                <w:i w:val="0"/>
                <w:iCs w:val="0"/>
                <w:color w:val="000000"/>
                <w:kern w:val="0"/>
                <w:sz w:val="30"/>
                <w:szCs w:val="30"/>
                <w:u w:val="none"/>
                <w:lang w:val="en-US" w:eastAsia="zh-CN" w:bidi="ar"/>
              </w:rPr>
              <w:t xml:space="preserve"> 方案不够全面、合理性不足，执行性较弱，得1分； </w:t>
            </w:r>
            <w:r>
              <w:rPr>
                <w:rFonts w:hint="eastAsia" w:ascii="仿宋" w:hAnsi="仿宋" w:eastAsia="仿宋" w:cs="仿宋"/>
                <w:i w:val="0"/>
                <w:iCs w:val="0"/>
                <w:color w:val="000000"/>
                <w:kern w:val="0"/>
                <w:sz w:val="30"/>
                <w:szCs w:val="30"/>
                <w:u w:val="none"/>
                <w:lang w:val="en-US" w:eastAsia="zh-CN" w:bidi="ar"/>
              </w:rPr>
              <w:br w:type="textWrapping"/>
            </w:r>
            <w:r>
              <w:rPr>
                <w:rFonts w:hint="eastAsia" w:ascii="仿宋" w:hAnsi="仿宋" w:eastAsia="仿宋" w:cs="仿宋"/>
                <w:i w:val="0"/>
                <w:iCs w:val="0"/>
                <w:color w:val="000000"/>
                <w:kern w:val="0"/>
                <w:sz w:val="30"/>
                <w:szCs w:val="30"/>
                <w:u w:val="none"/>
                <w:lang w:val="en-US" w:eastAsia="zh-CN" w:bidi="ar"/>
              </w:rPr>
              <w:t xml:space="preserve">未提供，不得分。                                                                             </w:t>
            </w:r>
          </w:p>
        </w:tc>
      </w:tr>
      <w:tr w14:paraId="5A263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61" w:hRule="atLeast"/>
        </w:trPr>
        <w:tc>
          <w:tcPr>
            <w:tcW w:w="1413" w:type="dxa"/>
            <w:vMerge w:val="continue"/>
            <w:tcBorders>
              <w:top w:val="single" w:color="000000" w:sz="4" w:space="0"/>
              <w:left w:val="single" w:color="000000" w:sz="4" w:space="0"/>
              <w:bottom w:val="nil"/>
              <w:right w:val="single" w:color="000000" w:sz="4" w:space="0"/>
            </w:tcBorders>
            <w:shd w:val="clear" w:color="auto" w:fill="auto"/>
            <w:vAlign w:val="center"/>
          </w:tcPr>
          <w:p w14:paraId="7D78923E">
            <w:pPr>
              <w:keepNext w:val="0"/>
              <w:keepLines w:val="0"/>
              <w:suppressLineNumbers w:val="0"/>
              <w:spacing w:before="0" w:beforeAutospacing="0" w:after="0" w:afterAutospacing="0"/>
              <w:ind w:left="0" w:right="0"/>
              <w:jc w:val="center"/>
              <w:rPr>
                <w:rFonts w:hint="eastAsia" w:ascii="仿宋" w:hAnsi="仿宋" w:eastAsia="仿宋" w:cs="仿宋"/>
                <w:b/>
                <w:bCs/>
                <w:i w:val="0"/>
                <w:iCs w:val="0"/>
                <w:color w:val="000000"/>
                <w:sz w:val="30"/>
                <w:szCs w:val="30"/>
                <w:u w:val="none"/>
              </w:rPr>
            </w:pP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E113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30"/>
                <w:szCs w:val="30"/>
                <w:u w:val="none"/>
              </w:rPr>
            </w:pPr>
            <w:r>
              <w:rPr>
                <w:rFonts w:hint="eastAsia" w:ascii="仿宋" w:hAnsi="仿宋" w:eastAsia="仿宋" w:cs="仿宋"/>
                <w:b/>
                <w:bCs/>
                <w:i w:val="0"/>
                <w:iCs w:val="0"/>
                <w:color w:val="000000"/>
                <w:kern w:val="0"/>
                <w:sz w:val="30"/>
                <w:szCs w:val="30"/>
                <w:u w:val="none"/>
                <w:lang w:val="en-US" w:eastAsia="zh-CN" w:bidi="ar"/>
              </w:rPr>
              <w:t>标本运输方案（13分)</w:t>
            </w:r>
          </w:p>
        </w:tc>
        <w:tc>
          <w:tcPr>
            <w:tcW w:w="7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850C6">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投标人实验室具备冷链物流服务能力，包括但不限于以下内容：①投标实验室物流标本箱具备GPS定位和温度监控功能，可实现全程实时监测，提供加盖公章实物图、系统截图及功能证明得2分，无材料0分；②投标人实验室具有《道路运输经营许可证》及运输车辆，得2分。证明文件以加盖公章的行驶证以及道路运输经营许可证复印件为准，未提供齐全的本项不得分；③投标人实验室获得GB/T 42186-2022《医学检验生物样本冷链物流运作规范》国家标准达标企业，提供有效证明文件得2分，否则得0分；④对投标人实验室提供的标本管理与物流服务方案（包括但不限于:标本采集、标本收取、标本冷链转运、交接签收、物流人员培训、异常情况处置等）进行评分。提供方案得基础分4分。</w:t>
            </w:r>
            <w:r>
              <w:rPr>
                <w:rFonts w:hint="eastAsia" w:ascii="仿宋" w:hAnsi="仿宋" w:eastAsia="仿宋" w:cs="仿宋"/>
                <w:b/>
                <w:bCs/>
                <w:i w:val="0"/>
                <w:iCs w:val="0"/>
                <w:color w:val="000000"/>
                <w:kern w:val="0"/>
                <w:sz w:val="30"/>
                <w:szCs w:val="30"/>
                <w:u w:val="none"/>
                <w:lang w:val="en-US" w:eastAsia="zh-CN" w:bidi="ar"/>
              </w:rPr>
              <w:t>额外加分标准：</w:t>
            </w:r>
            <w:r>
              <w:rPr>
                <w:rFonts w:hint="eastAsia" w:ascii="仿宋" w:hAnsi="仿宋" w:eastAsia="仿宋" w:cs="仿宋"/>
                <w:i w:val="0"/>
                <w:iCs w:val="0"/>
                <w:color w:val="000000"/>
                <w:kern w:val="0"/>
                <w:sz w:val="30"/>
                <w:szCs w:val="30"/>
                <w:u w:val="none"/>
                <w:lang w:val="en-US" w:eastAsia="zh-CN" w:bidi="ar"/>
              </w:rPr>
              <w:br w:type="textWrapping"/>
            </w:r>
            <w:r>
              <w:rPr>
                <w:rFonts w:hint="eastAsia" w:ascii="仿宋" w:hAnsi="仿宋" w:eastAsia="仿宋" w:cs="仿宋"/>
                <w:i w:val="0"/>
                <w:iCs w:val="0"/>
                <w:color w:val="000000"/>
                <w:kern w:val="0"/>
                <w:sz w:val="30"/>
                <w:szCs w:val="30"/>
                <w:u w:val="none"/>
                <w:lang w:val="en-US" w:eastAsia="zh-CN" w:bidi="ar"/>
              </w:rPr>
              <w:t>方案合理，内容详细、清晰，完全满足并优于采购需求的，得3分；</w:t>
            </w:r>
            <w:r>
              <w:rPr>
                <w:rFonts w:hint="eastAsia" w:ascii="仿宋" w:hAnsi="仿宋" w:eastAsia="仿宋" w:cs="仿宋"/>
                <w:i w:val="0"/>
                <w:iCs w:val="0"/>
                <w:color w:val="000000"/>
                <w:kern w:val="0"/>
                <w:sz w:val="30"/>
                <w:szCs w:val="30"/>
                <w:u w:val="none"/>
                <w:lang w:val="en-US" w:eastAsia="zh-CN" w:bidi="ar"/>
              </w:rPr>
              <w:br w:type="textWrapping"/>
            </w:r>
            <w:r>
              <w:rPr>
                <w:rFonts w:hint="eastAsia" w:ascii="仿宋" w:hAnsi="仿宋" w:eastAsia="仿宋" w:cs="仿宋"/>
                <w:i w:val="0"/>
                <w:iCs w:val="0"/>
                <w:color w:val="000000"/>
                <w:kern w:val="0"/>
                <w:sz w:val="30"/>
                <w:szCs w:val="30"/>
                <w:u w:val="none"/>
                <w:lang w:val="en-US" w:eastAsia="zh-CN" w:bidi="ar"/>
              </w:rPr>
              <w:t>方案较合理，内容较详细、清晰，完全满足采购需求的，得2分；</w:t>
            </w:r>
            <w:r>
              <w:rPr>
                <w:rFonts w:hint="eastAsia" w:ascii="仿宋" w:hAnsi="仿宋" w:eastAsia="仿宋" w:cs="仿宋"/>
                <w:i w:val="0"/>
                <w:iCs w:val="0"/>
                <w:color w:val="000000"/>
                <w:kern w:val="0"/>
                <w:sz w:val="30"/>
                <w:szCs w:val="30"/>
                <w:u w:val="none"/>
                <w:lang w:val="en-US" w:eastAsia="zh-CN" w:bidi="ar"/>
              </w:rPr>
              <w:br w:type="textWrapping"/>
            </w:r>
            <w:r>
              <w:rPr>
                <w:rFonts w:hint="eastAsia" w:ascii="仿宋" w:hAnsi="仿宋" w:eastAsia="仿宋" w:cs="仿宋"/>
                <w:i w:val="0"/>
                <w:iCs w:val="0"/>
                <w:color w:val="000000"/>
                <w:kern w:val="0"/>
                <w:sz w:val="30"/>
                <w:szCs w:val="30"/>
                <w:u w:val="none"/>
                <w:lang w:val="en-US" w:eastAsia="zh-CN" w:bidi="ar"/>
              </w:rPr>
              <w:t>方案合理性、内容详细、清晰度均一般，不完全满足采购需求的，得1分；</w:t>
            </w:r>
            <w:r>
              <w:rPr>
                <w:rFonts w:hint="eastAsia" w:ascii="仿宋" w:hAnsi="仿宋" w:eastAsia="仿宋" w:cs="仿宋"/>
                <w:i w:val="0"/>
                <w:iCs w:val="0"/>
                <w:color w:val="000000"/>
                <w:kern w:val="0"/>
                <w:sz w:val="30"/>
                <w:szCs w:val="30"/>
                <w:u w:val="none"/>
                <w:lang w:val="en-US" w:eastAsia="zh-CN" w:bidi="ar"/>
              </w:rPr>
              <w:br w:type="textWrapping"/>
            </w:r>
            <w:r>
              <w:rPr>
                <w:rFonts w:hint="eastAsia" w:ascii="仿宋" w:hAnsi="仿宋" w:eastAsia="仿宋" w:cs="仿宋"/>
                <w:i w:val="0"/>
                <w:iCs w:val="0"/>
                <w:color w:val="000000"/>
                <w:kern w:val="0"/>
                <w:sz w:val="30"/>
                <w:szCs w:val="30"/>
                <w:u w:val="none"/>
                <w:lang w:val="en-US" w:eastAsia="zh-CN" w:bidi="ar"/>
              </w:rPr>
              <w:t>没有提供方案，不得分。</w:t>
            </w:r>
            <w:r>
              <w:rPr>
                <w:rFonts w:hint="eastAsia" w:ascii="仿宋" w:hAnsi="仿宋" w:eastAsia="仿宋" w:cs="仿宋"/>
                <w:i w:val="0"/>
                <w:iCs w:val="0"/>
                <w:color w:val="000000"/>
                <w:kern w:val="0"/>
                <w:sz w:val="30"/>
                <w:szCs w:val="30"/>
                <w:u w:val="none"/>
                <w:lang w:val="en-US" w:eastAsia="zh-CN" w:bidi="ar"/>
              </w:rPr>
              <w:br w:type="textWrapping"/>
            </w:r>
            <w:r>
              <w:rPr>
                <w:rFonts w:hint="eastAsia" w:ascii="仿宋" w:hAnsi="仿宋" w:eastAsia="仿宋" w:cs="仿宋"/>
                <w:i w:val="0"/>
                <w:iCs w:val="0"/>
                <w:color w:val="000000"/>
                <w:kern w:val="0"/>
                <w:sz w:val="30"/>
                <w:szCs w:val="30"/>
                <w:u w:val="none"/>
                <w:lang w:val="en-US" w:eastAsia="zh-CN" w:bidi="ar"/>
              </w:rPr>
              <w:t>（注：提供相关方案的介绍说明、运输专用容器实物图片、提供全程电子监控系统的系统截图及介绍并加盖公章）。</w:t>
            </w:r>
          </w:p>
        </w:tc>
      </w:tr>
      <w:tr w14:paraId="0406C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3" w:hRule="atLeast"/>
        </w:trPr>
        <w:tc>
          <w:tcPr>
            <w:tcW w:w="1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7266F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30"/>
                <w:szCs w:val="30"/>
                <w:u w:val="none"/>
              </w:rPr>
            </w:pPr>
            <w:r>
              <w:rPr>
                <w:rFonts w:hint="eastAsia" w:ascii="仿宋" w:hAnsi="仿宋" w:eastAsia="仿宋" w:cs="仿宋"/>
                <w:b/>
                <w:bCs/>
                <w:i w:val="0"/>
                <w:iCs w:val="0"/>
                <w:color w:val="000000"/>
                <w:kern w:val="0"/>
                <w:sz w:val="30"/>
                <w:szCs w:val="30"/>
                <w:u w:val="none"/>
                <w:lang w:val="en-US" w:eastAsia="zh-CN" w:bidi="ar"/>
              </w:rPr>
              <w:t>商务部分</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8840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30"/>
                <w:szCs w:val="30"/>
                <w:u w:val="none"/>
              </w:rPr>
            </w:pPr>
            <w:r>
              <w:rPr>
                <w:rFonts w:hint="eastAsia" w:ascii="仿宋" w:hAnsi="仿宋" w:eastAsia="仿宋" w:cs="仿宋"/>
                <w:b/>
                <w:bCs/>
                <w:i w:val="0"/>
                <w:iCs w:val="0"/>
                <w:color w:val="000000"/>
                <w:kern w:val="0"/>
                <w:sz w:val="30"/>
                <w:szCs w:val="30"/>
                <w:u w:val="none"/>
                <w:lang w:val="en-US" w:eastAsia="zh-CN" w:bidi="ar"/>
              </w:rPr>
              <w:t>业绩 (12分)</w:t>
            </w:r>
          </w:p>
        </w:tc>
        <w:tc>
          <w:tcPr>
            <w:tcW w:w="7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C645C">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投标人提供2023年6月1日至今（业绩时间认定以合同签订时间为准）标本外送检测同类项目业绩，每提供一份得4分，本项最多得12分，无业绩0分。（提供合同扫描或复印件，合同需体现签订日期）。</w:t>
            </w:r>
          </w:p>
        </w:tc>
      </w:tr>
      <w:tr w14:paraId="348FA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8" w:hRule="atLeast"/>
        </w:trPr>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99ABFE">
            <w:pPr>
              <w:keepNext w:val="0"/>
              <w:keepLines w:val="0"/>
              <w:suppressLineNumbers w:val="0"/>
              <w:spacing w:before="0" w:beforeAutospacing="0" w:after="0" w:afterAutospacing="0"/>
              <w:ind w:left="0" w:right="0"/>
              <w:jc w:val="center"/>
              <w:rPr>
                <w:rFonts w:hint="eastAsia" w:ascii="仿宋" w:hAnsi="仿宋" w:eastAsia="仿宋" w:cs="仿宋"/>
                <w:b/>
                <w:bCs/>
                <w:i w:val="0"/>
                <w:iCs w:val="0"/>
                <w:color w:val="000000"/>
                <w:sz w:val="30"/>
                <w:szCs w:val="30"/>
                <w:u w:val="none"/>
              </w:rPr>
            </w:pP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8360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30"/>
                <w:szCs w:val="30"/>
                <w:u w:val="none"/>
              </w:rPr>
            </w:pPr>
            <w:r>
              <w:rPr>
                <w:rFonts w:hint="eastAsia" w:ascii="仿宋" w:hAnsi="仿宋" w:eastAsia="仿宋" w:cs="仿宋"/>
                <w:b/>
                <w:bCs/>
                <w:i w:val="0"/>
                <w:iCs w:val="0"/>
                <w:color w:val="000000"/>
                <w:kern w:val="0"/>
                <w:sz w:val="30"/>
                <w:szCs w:val="30"/>
                <w:u w:val="none"/>
                <w:lang w:val="en-US" w:eastAsia="zh-CN" w:bidi="ar"/>
              </w:rPr>
              <w:t>实力认证 (8分)</w:t>
            </w:r>
          </w:p>
        </w:tc>
        <w:tc>
          <w:tcPr>
            <w:tcW w:w="7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9C14B">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30"/>
                <w:szCs w:val="30"/>
                <w:u w:val="none"/>
              </w:rPr>
            </w:pPr>
            <w:r>
              <w:rPr>
                <w:rStyle w:val="17"/>
                <w:rFonts w:hint="eastAsia" w:ascii="仿宋" w:hAnsi="仿宋" w:eastAsia="仿宋" w:cs="仿宋"/>
                <w:sz w:val="30"/>
                <w:szCs w:val="30"/>
                <w:lang w:val="en-US" w:eastAsia="zh-CN" w:bidi="ar"/>
              </w:rPr>
              <w:t>①投标人实验室通过P2实验室能力认证</w:t>
            </w:r>
            <w:r>
              <w:rPr>
                <w:rStyle w:val="19"/>
                <w:rFonts w:hint="eastAsia" w:ascii="仿宋" w:hAnsi="仿宋" w:eastAsia="仿宋" w:cs="仿宋"/>
                <w:sz w:val="30"/>
                <w:szCs w:val="30"/>
                <w:lang w:val="en-US" w:eastAsia="zh-CN" w:bidi="ar"/>
              </w:rPr>
              <w:t>，</w:t>
            </w:r>
            <w:r>
              <w:rPr>
                <w:rStyle w:val="17"/>
                <w:rFonts w:hint="eastAsia" w:ascii="仿宋" w:hAnsi="仿宋" w:eastAsia="仿宋" w:cs="仿宋"/>
                <w:sz w:val="30"/>
                <w:szCs w:val="30"/>
                <w:lang w:val="en-US" w:eastAsia="zh-CN" w:bidi="ar"/>
              </w:rPr>
              <w:t>提供有效期内认证证书</w:t>
            </w:r>
            <w:r>
              <w:rPr>
                <w:rStyle w:val="19"/>
                <w:rFonts w:hint="eastAsia" w:ascii="仿宋" w:hAnsi="仿宋" w:eastAsia="仿宋" w:cs="仿宋"/>
                <w:sz w:val="30"/>
                <w:szCs w:val="30"/>
                <w:lang w:val="en-US" w:eastAsia="zh-CN" w:bidi="ar"/>
              </w:rPr>
              <w:t>，</w:t>
            </w:r>
            <w:r>
              <w:rPr>
                <w:rStyle w:val="17"/>
                <w:rFonts w:hint="eastAsia" w:ascii="仿宋" w:hAnsi="仿宋" w:eastAsia="仿宋" w:cs="仿宋"/>
                <w:sz w:val="30"/>
                <w:szCs w:val="30"/>
                <w:lang w:val="en-US" w:eastAsia="zh-CN" w:bidi="ar"/>
              </w:rPr>
              <w:t>得2分</w:t>
            </w:r>
            <w:r>
              <w:rPr>
                <w:rStyle w:val="19"/>
                <w:rFonts w:hint="eastAsia" w:ascii="仿宋" w:hAnsi="仿宋" w:eastAsia="仿宋" w:cs="仿宋"/>
                <w:sz w:val="30"/>
                <w:szCs w:val="30"/>
                <w:lang w:val="en-US" w:eastAsia="zh-CN" w:bidi="ar"/>
              </w:rPr>
              <w:t>，</w:t>
            </w:r>
            <w:r>
              <w:rPr>
                <w:rStyle w:val="17"/>
                <w:rFonts w:hint="eastAsia" w:ascii="仿宋" w:hAnsi="仿宋" w:eastAsia="仿宋" w:cs="仿宋"/>
                <w:sz w:val="30"/>
                <w:szCs w:val="30"/>
                <w:lang w:val="en-US" w:eastAsia="zh-CN" w:bidi="ar"/>
              </w:rPr>
              <w:t>不提供不得分。②具有检验 ISO 15189 质量管理体系认证的得2分</w:t>
            </w:r>
            <w:r>
              <w:rPr>
                <w:rStyle w:val="19"/>
                <w:rFonts w:hint="eastAsia" w:ascii="仿宋" w:hAnsi="仿宋" w:eastAsia="仿宋" w:cs="仿宋"/>
                <w:sz w:val="30"/>
                <w:szCs w:val="30"/>
                <w:lang w:val="en-US" w:eastAsia="zh-CN" w:bidi="ar"/>
              </w:rPr>
              <w:t>，</w:t>
            </w:r>
            <w:r>
              <w:rPr>
                <w:rStyle w:val="17"/>
                <w:rFonts w:hint="eastAsia" w:ascii="仿宋" w:hAnsi="仿宋" w:eastAsia="仿宋" w:cs="仿宋"/>
                <w:sz w:val="30"/>
                <w:szCs w:val="30"/>
                <w:lang w:val="en-US" w:eastAsia="zh-CN" w:bidi="ar"/>
              </w:rPr>
              <w:t>不提供不得分。③具有良好的信用评级证书</w:t>
            </w:r>
            <w:r>
              <w:rPr>
                <w:rStyle w:val="19"/>
                <w:rFonts w:hint="eastAsia" w:ascii="仿宋" w:hAnsi="仿宋" w:eastAsia="仿宋" w:cs="仿宋"/>
                <w:sz w:val="30"/>
                <w:szCs w:val="30"/>
                <w:lang w:val="en-US" w:eastAsia="zh-CN" w:bidi="ar"/>
              </w:rPr>
              <w:t>，</w:t>
            </w:r>
            <w:r>
              <w:rPr>
                <w:rStyle w:val="17"/>
                <w:rFonts w:hint="eastAsia" w:ascii="仿宋" w:hAnsi="仿宋" w:eastAsia="仿宋" w:cs="仿宋"/>
                <w:sz w:val="30"/>
                <w:szCs w:val="30"/>
                <w:lang w:val="en-US" w:eastAsia="zh-CN" w:bidi="ar"/>
              </w:rPr>
              <w:t>需提供原件扫描件</w:t>
            </w:r>
            <w:r>
              <w:rPr>
                <w:rStyle w:val="19"/>
                <w:rFonts w:hint="eastAsia" w:ascii="仿宋" w:hAnsi="仿宋" w:eastAsia="仿宋" w:cs="仿宋"/>
                <w:sz w:val="30"/>
                <w:szCs w:val="30"/>
                <w:lang w:val="en-US" w:eastAsia="zh-CN" w:bidi="ar"/>
              </w:rPr>
              <w:t>，</w:t>
            </w:r>
            <w:r>
              <w:rPr>
                <w:rStyle w:val="17"/>
                <w:rFonts w:hint="eastAsia" w:ascii="仿宋" w:hAnsi="仿宋" w:eastAsia="仿宋" w:cs="仿宋"/>
                <w:sz w:val="30"/>
                <w:szCs w:val="30"/>
                <w:lang w:val="en-US" w:eastAsia="zh-CN" w:bidi="ar"/>
              </w:rPr>
              <w:t>信用评级为3A及以上</w:t>
            </w:r>
            <w:r>
              <w:rPr>
                <w:rStyle w:val="19"/>
                <w:rFonts w:hint="eastAsia" w:ascii="仿宋" w:hAnsi="仿宋" w:eastAsia="仿宋" w:cs="仿宋"/>
                <w:sz w:val="30"/>
                <w:szCs w:val="30"/>
                <w:lang w:val="en-US" w:eastAsia="zh-CN" w:bidi="ar"/>
              </w:rPr>
              <w:t>，</w:t>
            </w:r>
            <w:r>
              <w:rPr>
                <w:rStyle w:val="17"/>
                <w:rFonts w:hint="eastAsia" w:ascii="仿宋" w:hAnsi="仿宋" w:eastAsia="仿宋" w:cs="仿宋"/>
                <w:sz w:val="30"/>
                <w:szCs w:val="30"/>
                <w:lang w:val="en-US" w:eastAsia="zh-CN" w:bidi="ar"/>
              </w:rPr>
              <w:t>得2分</w:t>
            </w:r>
            <w:r>
              <w:rPr>
                <w:rStyle w:val="19"/>
                <w:rFonts w:hint="eastAsia" w:ascii="仿宋" w:hAnsi="仿宋" w:eastAsia="仿宋" w:cs="仿宋"/>
                <w:sz w:val="30"/>
                <w:szCs w:val="30"/>
                <w:lang w:val="en-US" w:eastAsia="zh-CN" w:bidi="ar"/>
              </w:rPr>
              <w:t>，不提供不得分</w:t>
            </w:r>
            <w:r>
              <w:rPr>
                <w:rStyle w:val="17"/>
                <w:rFonts w:hint="eastAsia" w:ascii="仿宋" w:hAnsi="仿宋" w:eastAsia="仿宋" w:cs="仿宋"/>
                <w:sz w:val="30"/>
                <w:szCs w:val="30"/>
                <w:lang w:val="en-US" w:eastAsia="zh-CN" w:bidi="ar"/>
              </w:rPr>
              <w:t>。</w:t>
            </w:r>
            <w:r>
              <w:rPr>
                <w:rStyle w:val="26"/>
                <w:rFonts w:hint="eastAsia" w:ascii="仿宋" w:hAnsi="仿宋" w:eastAsia="仿宋" w:cs="仿宋"/>
                <w:sz w:val="30"/>
                <w:szCs w:val="30"/>
                <w:lang w:val="en-US" w:eastAsia="zh-CN" w:bidi="ar"/>
              </w:rPr>
              <w:t>④</w:t>
            </w:r>
            <w:r>
              <w:rPr>
                <w:rStyle w:val="17"/>
                <w:rFonts w:hint="eastAsia" w:ascii="仿宋" w:hAnsi="仿宋" w:eastAsia="仿宋" w:cs="仿宋"/>
                <w:sz w:val="30"/>
                <w:szCs w:val="30"/>
                <w:lang w:val="en-US" w:eastAsia="zh-CN" w:bidi="ar"/>
              </w:rPr>
              <w:t>.涉及临床基因扩增或测序项目需提供临床基因扩增检验实验室技术审核合格证书，得2分。</w:t>
            </w:r>
          </w:p>
        </w:tc>
      </w:tr>
      <w:tr w14:paraId="685DB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1E6F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30"/>
                <w:szCs w:val="30"/>
                <w:u w:val="none"/>
              </w:rPr>
            </w:pPr>
            <w:r>
              <w:rPr>
                <w:rFonts w:hint="eastAsia" w:ascii="仿宋" w:hAnsi="仿宋" w:eastAsia="仿宋" w:cs="仿宋"/>
                <w:b/>
                <w:bCs/>
                <w:i w:val="0"/>
                <w:iCs w:val="0"/>
                <w:color w:val="000000"/>
                <w:kern w:val="0"/>
                <w:sz w:val="30"/>
                <w:szCs w:val="30"/>
                <w:u w:val="none"/>
                <w:lang w:val="en-US" w:eastAsia="zh-CN" w:bidi="ar"/>
              </w:rPr>
              <w:t>投标报价</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5DD7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30"/>
                <w:szCs w:val="30"/>
                <w:u w:val="none"/>
              </w:rPr>
            </w:pPr>
            <w:r>
              <w:rPr>
                <w:rFonts w:hint="eastAsia" w:ascii="仿宋" w:hAnsi="仿宋" w:eastAsia="仿宋" w:cs="仿宋"/>
                <w:b/>
                <w:bCs/>
                <w:i w:val="0"/>
                <w:iCs w:val="0"/>
                <w:color w:val="000000"/>
                <w:kern w:val="0"/>
                <w:sz w:val="30"/>
                <w:szCs w:val="30"/>
                <w:u w:val="none"/>
                <w:lang w:val="en-US" w:eastAsia="zh-CN" w:bidi="ar"/>
              </w:rPr>
              <w:t>投标报价得分 (10分)</w:t>
            </w:r>
          </w:p>
        </w:tc>
        <w:tc>
          <w:tcPr>
            <w:tcW w:w="7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13D4B">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投标报价得分＝（评标基准价/投标报价）×价格分值（注：满足招标文件要求且投标价格最低的投标报价为评标基准价。）最低报价不是中标的唯一依据。</w:t>
            </w:r>
          </w:p>
        </w:tc>
      </w:tr>
    </w:tbl>
    <w:p w14:paraId="1B6658CB">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552214A8">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5EF63C63">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33EEF122">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2F9F929E">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2AB0FDBD">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5DA07213">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1004984D">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6B40C00F">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478FF5AB">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6E03DD9C">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6478FB91">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13684F50">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1654D722">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067B589F">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5C19C55B">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三、资格审查表</w:t>
      </w:r>
    </w:p>
    <w:tbl>
      <w:tblPr>
        <w:tblStyle w:val="11"/>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3213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14:paraId="149302D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45D6773">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具有良好的商业信誉和健全的财务会计制度</w:t>
            </w:r>
          </w:p>
        </w:tc>
        <w:tc>
          <w:tcPr>
            <w:tcW w:w="6030" w:type="dxa"/>
            <w:tcBorders>
              <w:top w:val="single" w:color="auto" w:sz="4" w:space="0"/>
              <w:left w:val="single" w:color="auto" w:sz="4" w:space="0"/>
              <w:bottom w:val="single" w:color="auto" w:sz="4" w:space="0"/>
              <w:right w:val="single" w:color="auto" w:sz="4" w:space="0"/>
            </w:tcBorders>
            <w:vAlign w:val="center"/>
          </w:tcPr>
          <w:p w14:paraId="7AFB5BB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（1）审查投标人2024年或2025年度经会计事务所出具的财务审计报告；</w:t>
            </w:r>
          </w:p>
          <w:p w14:paraId="4ADF6841">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（2）审查投标人基本开户行的开户许可证（或基本存款账户信息表）及基本开户银行出具的近一年内的银行资信证明。</w:t>
            </w:r>
          </w:p>
          <w:p w14:paraId="0475C0A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以上两项投标人选择其中一项提供即可。</w:t>
            </w:r>
          </w:p>
        </w:tc>
      </w:tr>
      <w:tr w14:paraId="50CB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14:paraId="13EE02D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1BDA18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030" w:type="dxa"/>
            <w:tcBorders>
              <w:top w:val="single" w:color="auto" w:sz="4" w:space="0"/>
              <w:left w:val="single" w:color="auto" w:sz="4" w:space="0"/>
              <w:bottom w:val="single" w:color="auto" w:sz="4" w:space="0"/>
              <w:right w:val="single" w:color="auto" w:sz="4" w:space="0"/>
            </w:tcBorders>
            <w:vAlign w:val="center"/>
          </w:tcPr>
          <w:p w14:paraId="384E44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内（至少一个月）的良好缴纳税收的相关凭据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例如增值税，个人所得税等，但不包含工会经费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。（以税务机关提供的纳税凭据或银行入账单为准）</w:t>
            </w:r>
          </w:p>
          <w:p w14:paraId="01045F2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内（至少一个月）缴纳社会保险的凭证。（以社保机构出具的专用收据或社会保险缴纳清单为准）</w:t>
            </w:r>
          </w:p>
          <w:p w14:paraId="571AE38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注：依法免税或不需要缴纳社会保障资金的供应商，应提供相应文件证明其依法免税或不需要缴纳社会保障资金。</w:t>
            </w:r>
          </w:p>
        </w:tc>
      </w:tr>
      <w:tr w14:paraId="4373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14:paraId="29EB5B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EF6A2F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6030" w:type="dxa"/>
            <w:tcBorders>
              <w:top w:val="single" w:color="auto" w:sz="4" w:space="0"/>
              <w:left w:val="single" w:color="auto" w:sz="4" w:space="0"/>
              <w:bottom w:val="single" w:color="auto" w:sz="4" w:space="0"/>
              <w:right w:val="single" w:color="auto" w:sz="4" w:space="0"/>
            </w:tcBorders>
            <w:vAlign w:val="center"/>
          </w:tcPr>
          <w:p w14:paraId="6FF5D8C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1.审查“参加本次采购前三年内在经营活动中无重大违法记录”投标人书面声明函；</w:t>
            </w:r>
          </w:p>
          <w:p w14:paraId="66B17D3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2.到提交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文件的截止时间，投标人未被列入失信被执行人、重大税收违法案件当事人名单、政府采购严重违法失信行为记录名单。（以投标人通过“信用中国”网站和“中国政府采购网”网站的</w:t>
            </w:r>
            <w:r>
              <w:rPr>
                <w:rFonts w:hint="eastAsia" w:ascii="宋体" w:hAnsi="宋体" w:eastAsia="宋体" w:cs="宋体"/>
                <w:b/>
                <w:bCs/>
                <w:color w:val="auto"/>
                <w:sz w:val="21"/>
                <w:szCs w:val="21"/>
                <w:lang w:val="en-US" w:eastAsia="zh-CN"/>
              </w:rPr>
              <w:t>以上三项</w:t>
            </w:r>
            <w:r>
              <w:rPr>
                <w:rFonts w:hint="eastAsia" w:ascii="宋体" w:hAnsi="宋体" w:eastAsia="宋体" w:cs="宋体"/>
                <w:color w:val="auto"/>
                <w:sz w:val="21"/>
                <w:szCs w:val="21"/>
              </w:rPr>
              <w:t>信用记录截图</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评标现场核实情况为准）</w:t>
            </w:r>
          </w:p>
        </w:tc>
      </w:tr>
      <w:tr w14:paraId="08F2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14:paraId="5EE6CC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06F2DEF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其他资质要求</w:t>
            </w:r>
          </w:p>
        </w:tc>
        <w:tc>
          <w:tcPr>
            <w:tcW w:w="6030" w:type="dxa"/>
            <w:tcBorders>
              <w:top w:val="single" w:color="auto" w:sz="4" w:space="0"/>
              <w:left w:val="single" w:color="auto" w:sz="4" w:space="0"/>
              <w:bottom w:val="single" w:color="auto" w:sz="4" w:space="0"/>
              <w:right w:val="single" w:color="auto" w:sz="4" w:space="0"/>
            </w:tcBorders>
            <w:vAlign w:val="center"/>
          </w:tcPr>
          <w:p w14:paraId="69872C3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（如有）</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3B0B7692">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auto"/>
          <w:sz w:val="24"/>
          <w:szCs w:val="24"/>
          <w:highlight w:val="none"/>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086A27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4.投标报价出现下列情形之一的，评审委员会启动异常低价投标（响应）审查程序：</w:t>
      </w:r>
    </w:p>
    <w:p w14:paraId="6EEA241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1.投标（响应）报价低于全部通过符合性审查供应商投标（响应）报价平均值50%的，即投标（响应）报价&lt;全部通过符合性审查供应商投标（响应）报价平均值×50%；</w:t>
      </w:r>
    </w:p>
    <w:p w14:paraId="675700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2.投标（响应）报价低于通过符合性审查的次低报价供应商投标（响应）报价50%的，即投标（响应）报价&lt;通过符合性审查的次低报价供应商投标（响应）报价×50%；</w:t>
      </w:r>
    </w:p>
    <w:p w14:paraId="2CE5425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3.投标（响应）报价低于采购项目最高限价45%的，即投标（响应）报价&lt;采购项目最高限价×45%；</w:t>
      </w:r>
    </w:p>
    <w:p w14:paraId="443F721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评审委员会基于专业判断，认为供应商报价过低，有可能影响产品质量或者不能诚信履约的其他情形。</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B219E93">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7C21F4B4">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6C685F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A5102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0E3500F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659CBD84">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12D7F371">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2DC52523">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01F88751">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0057162B">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A853ECE">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3216C23D">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09B022D3">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0FB14AB2">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78E5725D">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4E287DA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7714E176">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3EEF6AF0">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3692F97E">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2A68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6"/>
      </w:pPr>
    </w:p>
    <w:p w14:paraId="3132B795"/>
    <w:p w14:paraId="0A576042">
      <w:pPr>
        <w:pStyle w:val="6"/>
      </w:pPr>
    </w:p>
    <w:p w14:paraId="6DC81925"/>
    <w:p w14:paraId="73950FA8">
      <w:pPr>
        <w:pStyle w:val="6"/>
      </w:pPr>
    </w:p>
    <w:p w14:paraId="3D3ADE1E"/>
    <w:p w14:paraId="3EA602B9">
      <w:pPr>
        <w:pStyle w:val="6"/>
      </w:pPr>
    </w:p>
    <w:p w14:paraId="1C2369B1"/>
    <w:p w14:paraId="3D46A060">
      <w:pPr>
        <w:pStyle w:val="6"/>
      </w:pPr>
    </w:p>
    <w:p w14:paraId="0941FFCE"/>
    <w:p w14:paraId="46CE1A36">
      <w:pPr>
        <w:pStyle w:val="6"/>
      </w:pPr>
    </w:p>
    <w:p w14:paraId="2D3AA324"/>
    <w:p w14:paraId="5C50B345">
      <w:pPr>
        <w:pStyle w:val="6"/>
      </w:pPr>
    </w:p>
    <w:p w14:paraId="1C24A7AD"/>
    <w:p w14:paraId="38F03B4E">
      <w:pPr>
        <w:pStyle w:val="6"/>
      </w:pPr>
    </w:p>
    <w:p w14:paraId="5AB51ED1"/>
    <w:p w14:paraId="6F67E51F">
      <w:pPr>
        <w:pStyle w:val="6"/>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响应</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2E08354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065E7B74">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三、报名产品详细情况表.............................................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四、</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6943C72C">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五、</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基本情况表...........................................</w:t>
      </w:r>
    </w:p>
    <w:p w14:paraId="50FEE94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六、提供具有独立承担民事责任的能力的证明材料....................... </w:t>
      </w:r>
    </w:p>
    <w:p w14:paraId="1D8CC80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七、提供具有良好的商业信誉和健全的财务会计制度的证明材料........... </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八、提供依法缴纳税收和社会保障资金的良好记录........................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九、具有履行合同所必须的设备和专业技术能力的声明.................... </w:t>
      </w:r>
    </w:p>
    <w:p w14:paraId="0D6DC7D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十、业绩证明材料...................................................</w:t>
      </w:r>
    </w:p>
    <w:p w14:paraId="1B4407F5">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十一、参加</w:t>
      </w:r>
      <w:r>
        <w:rPr>
          <w:rFonts w:hint="eastAsia" w:ascii="宋体" w:hAnsi="宋体" w:eastAsia="宋体" w:cs="宋体"/>
          <w:b w:val="0"/>
          <w:color w:val="000000"/>
          <w:sz w:val="24"/>
          <w:szCs w:val="24"/>
          <w:lang w:val="en-US" w:eastAsia="zh-CN"/>
        </w:rPr>
        <w:t>本次</w:t>
      </w:r>
      <w:r>
        <w:rPr>
          <w:rFonts w:ascii="宋体" w:hAnsi="宋体" w:eastAsia="宋体" w:cs="宋体"/>
          <w:b w:val="0"/>
          <w:color w:val="000000"/>
          <w:sz w:val="24"/>
          <w:szCs w:val="24"/>
        </w:rPr>
        <w:t xml:space="preserve">采购前三年内在经营活动中无重大违法记录书面声明........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十二、主要商务要求承诺书 ...........................................</w:t>
      </w:r>
    </w:p>
    <w:p w14:paraId="71112F7B">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十三、技术偏离表.................................................... </w:t>
      </w:r>
    </w:p>
    <w:p w14:paraId="64C70C72">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rPr>
      </w:pPr>
      <w:r>
        <w:rPr>
          <w:rFonts w:ascii="宋体" w:hAnsi="宋体" w:eastAsia="宋体" w:cs="宋体"/>
          <w:b w:val="0"/>
          <w:color w:val="000000"/>
          <w:sz w:val="24"/>
          <w:szCs w:val="24"/>
        </w:rPr>
        <w:t>十四、</w:t>
      </w:r>
      <w:r>
        <w:rPr>
          <w:rFonts w:hint="eastAsia" w:ascii="宋体" w:hAnsi="宋体" w:eastAsia="宋体" w:cs="宋体"/>
          <w:b w:val="0"/>
          <w:color w:val="000000"/>
          <w:sz w:val="24"/>
          <w:szCs w:val="24"/>
          <w:lang w:val="en-US" w:eastAsia="zh-CN"/>
        </w:rPr>
        <w:t>综合评审各项要求</w:t>
      </w:r>
      <w:r>
        <w:rPr>
          <w:rFonts w:ascii="宋体" w:hAnsi="宋体" w:eastAsia="宋体" w:cs="宋体"/>
          <w:b w:val="0"/>
          <w:color w:val="000000"/>
          <w:sz w:val="24"/>
          <w:szCs w:val="24"/>
        </w:rPr>
        <w:t>............................................</w:t>
      </w:r>
      <w:r>
        <w:rPr>
          <w:rFonts w:hint="eastAsia" w:ascii="宋体" w:hAnsi="宋体" w:eastAsia="宋体" w:cs="宋体"/>
          <w:b w:val="0"/>
          <w:color w:val="000000"/>
          <w:sz w:val="24"/>
          <w:szCs w:val="24"/>
          <w:lang w:val="en-US" w:eastAsia="zh-CN"/>
        </w:rPr>
        <w:t>..</w:t>
      </w:r>
    </w:p>
    <w:p w14:paraId="00D3BFBE">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十五、其它</w:t>
      </w:r>
      <w:r>
        <w:rPr>
          <w:rFonts w:ascii="宋体" w:hAnsi="宋体" w:eastAsia="宋体" w:cs="宋体"/>
          <w:b w:val="0"/>
          <w:color w:val="000000"/>
          <w:sz w:val="24"/>
          <w:szCs w:val="24"/>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E83B753">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F0670D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374F9BCB">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F63F366">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CDFEC5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2364D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970CEE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5"/>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2"/>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453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453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服务期（年）</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453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453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5D0517F9">
      <w:pPr>
        <w:spacing w:line="360" w:lineRule="auto"/>
        <w:rPr>
          <w:rFonts w:hint="default"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分项报价表                      金额单位：元</w:t>
      </w:r>
    </w:p>
    <w:tbl>
      <w:tblPr>
        <w:tblStyle w:val="11"/>
        <w:tblW w:w="6433" w:type="pct"/>
        <w:tblInd w:w="-101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0"/>
        <w:gridCol w:w="2460"/>
        <w:gridCol w:w="1545"/>
        <w:gridCol w:w="1440"/>
        <w:gridCol w:w="1500"/>
        <w:gridCol w:w="1500"/>
        <w:gridCol w:w="1500"/>
      </w:tblGrid>
      <w:tr w14:paraId="6F5C7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7" w:hRule="atLeast"/>
        </w:trPr>
        <w:tc>
          <w:tcPr>
            <w:tcW w:w="465" w:type="pct"/>
            <w:tcBorders>
              <w:top w:val="nil"/>
              <w:left w:val="single" w:color="000000" w:sz="4" w:space="0"/>
              <w:bottom w:val="single" w:color="000000" w:sz="4" w:space="0"/>
              <w:right w:val="single" w:color="000000" w:sz="4" w:space="0"/>
            </w:tcBorders>
            <w:shd w:val="clear" w:color="auto" w:fill="auto"/>
            <w:vAlign w:val="center"/>
          </w:tcPr>
          <w:p w14:paraId="239A5B8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30"/>
                <w:szCs w:val="30"/>
                <w:u w:val="none"/>
                <w:lang w:val="en-US"/>
              </w:rPr>
            </w:pPr>
            <w:r>
              <w:rPr>
                <w:rFonts w:hint="eastAsia" w:ascii="仿宋" w:hAnsi="仿宋" w:eastAsia="仿宋" w:cs="仿宋"/>
                <w:b/>
                <w:bCs/>
                <w:i w:val="0"/>
                <w:iCs w:val="0"/>
                <w:color w:val="000000"/>
                <w:kern w:val="0"/>
                <w:sz w:val="30"/>
                <w:szCs w:val="30"/>
                <w:u w:val="none"/>
                <w:lang w:val="en-US" w:eastAsia="zh-CN" w:bidi="ar"/>
              </w:rPr>
              <w:t>序号</w:t>
            </w:r>
          </w:p>
        </w:tc>
        <w:tc>
          <w:tcPr>
            <w:tcW w:w="1121" w:type="pct"/>
            <w:tcBorders>
              <w:top w:val="nil"/>
              <w:left w:val="single" w:color="000000" w:sz="4" w:space="0"/>
              <w:bottom w:val="single" w:color="000000" w:sz="4" w:space="0"/>
              <w:right w:val="single" w:color="000000" w:sz="4" w:space="0"/>
            </w:tcBorders>
            <w:shd w:val="clear" w:color="auto" w:fill="auto"/>
            <w:vAlign w:val="center"/>
          </w:tcPr>
          <w:p w14:paraId="6294762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30"/>
                <w:szCs w:val="30"/>
                <w:u w:val="none"/>
              </w:rPr>
            </w:pPr>
            <w:r>
              <w:rPr>
                <w:rFonts w:hint="eastAsia" w:ascii="仿宋" w:hAnsi="仿宋" w:eastAsia="仿宋" w:cs="仿宋"/>
                <w:b/>
                <w:bCs/>
                <w:i w:val="0"/>
                <w:iCs w:val="0"/>
                <w:color w:val="000000"/>
                <w:kern w:val="0"/>
                <w:sz w:val="30"/>
                <w:szCs w:val="30"/>
                <w:u w:val="none"/>
                <w:lang w:val="en-US" w:eastAsia="zh-CN" w:bidi="ar"/>
              </w:rPr>
              <w:t>项目名称</w:t>
            </w:r>
          </w:p>
        </w:tc>
        <w:tc>
          <w:tcPr>
            <w:tcW w:w="704" w:type="pct"/>
            <w:tcBorders>
              <w:top w:val="nil"/>
              <w:left w:val="single" w:color="000000" w:sz="4" w:space="0"/>
              <w:bottom w:val="single" w:color="000000" w:sz="4" w:space="0"/>
              <w:right w:val="single" w:color="000000" w:sz="4" w:space="0"/>
            </w:tcBorders>
            <w:shd w:val="clear" w:color="auto" w:fill="auto"/>
            <w:vAlign w:val="center"/>
          </w:tcPr>
          <w:p w14:paraId="455BCBC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30"/>
                <w:szCs w:val="30"/>
                <w:u w:val="none"/>
              </w:rPr>
            </w:pPr>
            <w:r>
              <w:rPr>
                <w:rFonts w:hint="eastAsia" w:ascii="仿宋" w:hAnsi="仿宋" w:eastAsia="仿宋" w:cs="仿宋"/>
                <w:b/>
                <w:bCs/>
                <w:i w:val="0"/>
                <w:iCs w:val="0"/>
                <w:color w:val="000000"/>
                <w:kern w:val="0"/>
                <w:sz w:val="30"/>
                <w:szCs w:val="30"/>
                <w:u w:val="none"/>
                <w:lang w:val="en-US" w:eastAsia="zh-CN" w:bidi="ar"/>
              </w:rPr>
              <w:t>预估数量</w:t>
            </w:r>
          </w:p>
        </w:tc>
        <w:tc>
          <w:tcPr>
            <w:tcW w:w="656" w:type="pct"/>
            <w:tcBorders>
              <w:top w:val="nil"/>
              <w:left w:val="single" w:color="000000" w:sz="4" w:space="0"/>
              <w:bottom w:val="single" w:color="000000" w:sz="4" w:space="0"/>
              <w:right w:val="single" w:color="000000" w:sz="4" w:space="0"/>
            </w:tcBorders>
            <w:shd w:val="clear" w:color="auto" w:fill="auto"/>
            <w:vAlign w:val="center"/>
          </w:tcPr>
          <w:p w14:paraId="0A6F94D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30"/>
                <w:szCs w:val="30"/>
                <w:u w:val="none"/>
                <w:lang w:val="en-US" w:eastAsia="zh-CN" w:bidi="ar"/>
              </w:rPr>
            </w:pPr>
            <w:r>
              <w:rPr>
                <w:rFonts w:hint="eastAsia" w:ascii="仿宋" w:hAnsi="仿宋" w:eastAsia="仿宋" w:cs="仿宋"/>
                <w:b/>
                <w:bCs/>
                <w:i w:val="0"/>
                <w:iCs w:val="0"/>
                <w:color w:val="000000"/>
                <w:kern w:val="0"/>
                <w:sz w:val="30"/>
                <w:szCs w:val="30"/>
                <w:u w:val="none"/>
                <w:lang w:val="en-US" w:eastAsia="zh-CN" w:bidi="ar"/>
              </w:rPr>
              <w:t>预算单价</w:t>
            </w:r>
          </w:p>
        </w:tc>
        <w:tc>
          <w:tcPr>
            <w:tcW w:w="683" w:type="pct"/>
            <w:tcBorders>
              <w:top w:val="nil"/>
              <w:left w:val="single" w:color="000000" w:sz="4" w:space="0"/>
              <w:bottom w:val="single" w:color="000000" w:sz="4" w:space="0"/>
              <w:right w:val="single" w:color="000000" w:sz="4" w:space="0"/>
            </w:tcBorders>
            <w:shd w:val="clear" w:color="auto" w:fill="auto"/>
            <w:vAlign w:val="center"/>
          </w:tcPr>
          <w:p w14:paraId="4F5EC20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30"/>
                <w:szCs w:val="30"/>
                <w:u w:val="none"/>
              </w:rPr>
            </w:pPr>
            <w:r>
              <w:rPr>
                <w:rFonts w:hint="eastAsia" w:ascii="仿宋" w:hAnsi="仿宋" w:eastAsia="仿宋" w:cs="仿宋"/>
                <w:b/>
                <w:bCs/>
                <w:i w:val="0"/>
                <w:iCs w:val="0"/>
                <w:color w:val="000000"/>
                <w:kern w:val="0"/>
                <w:sz w:val="30"/>
                <w:szCs w:val="30"/>
                <w:u w:val="none"/>
                <w:lang w:val="en-US" w:eastAsia="zh-CN" w:bidi="ar"/>
              </w:rPr>
              <w:t>预算小计</w:t>
            </w:r>
          </w:p>
        </w:tc>
        <w:tc>
          <w:tcPr>
            <w:tcW w:w="683" w:type="pct"/>
            <w:tcBorders>
              <w:top w:val="nil"/>
              <w:left w:val="single" w:color="000000" w:sz="4" w:space="0"/>
              <w:bottom w:val="single" w:color="000000" w:sz="4" w:space="0"/>
              <w:right w:val="single" w:color="000000" w:sz="4" w:space="0"/>
            </w:tcBorders>
            <w:shd w:val="clear" w:color="auto" w:fill="auto"/>
            <w:vAlign w:val="center"/>
          </w:tcPr>
          <w:p w14:paraId="30FE9799">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bCs/>
                <w:i w:val="0"/>
                <w:iCs w:val="0"/>
                <w:color w:val="000000"/>
                <w:kern w:val="0"/>
                <w:sz w:val="30"/>
                <w:szCs w:val="30"/>
                <w:u w:val="none"/>
                <w:lang w:val="en-US" w:eastAsia="zh-CN" w:bidi="ar"/>
              </w:rPr>
            </w:pPr>
            <w:r>
              <w:rPr>
                <w:rFonts w:hint="eastAsia" w:ascii="仿宋" w:hAnsi="仿宋" w:eastAsia="仿宋" w:cs="仿宋"/>
                <w:b/>
                <w:bCs/>
                <w:i w:val="0"/>
                <w:iCs w:val="0"/>
                <w:color w:val="000000"/>
                <w:kern w:val="0"/>
                <w:sz w:val="30"/>
                <w:szCs w:val="30"/>
                <w:u w:val="none"/>
                <w:lang w:val="en-US" w:eastAsia="zh-CN" w:bidi="ar"/>
              </w:rPr>
              <w:t>投标单价</w:t>
            </w:r>
          </w:p>
        </w:tc>
        <w:tc>
          <w:tcPr>
            <w:tcW w:w="683" w:type="pct"/>
            <w:tcBorders>
              <w:top w:val="nil"/>
              <w:left w:val="single" w:color="000000" w:sz="4" w:space="0"/>
              <w:bottom w:val="single" w:color="000000" w:sz="4" w:space="0"/>
              <w:right w:val="single" w:color="000000" w:sz="4" w:space="0"/>
            </w:tcBorders>
            <w:shd w:val="clear" w:color="auto" w:fill="auto"/>
            <w:vAlign w:val="center"/>
          </w:tcPr>
          <w:p w14:paraId="3B1A4D0B">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bCs/>
                <w:i w:val="0"/>
                <w:iCs w:val="0"/>
                <w:color w:val="000000"/>
                <w:kern w:val="0"/>
                <w:sz w:val="30"/>
                <w:szCs w:val="30"/>
                <w:u w:val="none"/>
                <w:lang w:val="en-US" w:eastAsia="zh-CN" w:bidi="ar"/>
              </w:rPr>
            </w:pPr>
            <w:r>
              <w:rPr>
                <w:rFonts w:hint="eastAsia" w:ascii="仿宋" w:hAnsi="仿宋" w:eastAsia="仿宋" w:cs="仿宋"/>
                <w:b/>
                <w:bCs/>
                <w:i w:val="0"/>
                <w:iCs w:val="0"/>
                <w:color w:val="000000"/>
                <w:kern w:val="0"/>
                <w:sz w:val="30"/>
                <w:szCs w:val="30"/>
                <w:u w:val="none"/>
                <w:lang w:val="en-US" w:eastAsia="zh-CN" w:bidi="ar"/>
              </w:rPr>
              <w:t>投标小计</w:t>
            </w:r>
          </w:p>
        </w:tc>
      </w:tr>
      <w:tr w14:paraId="0F8BA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1"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BC69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sz w:val="30"/>
                <w:szCs w:val="30"/>
                <w:u w:val="none"/>
              </w:rPr>
              <w:t>①</w:t>
            </w:r>
          </w:p>
        </w:tc>
        <w:tc>
          <w:tcPr>
            <w:tcW w:w="1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C285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血液肿瘤二代测序</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F469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20</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0C54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2400</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3465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48000</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29B7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30"/>
                <w:szCs w:val="30"/>
                <w:u w:val="none"/>
                <w:lang w:val="en-US" w:eastAsia="zh-CN" w:bidi="ar"/>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1ED2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30"/>
                <w:szCs w:val="30"/>
                <w:u w:val="none"/>
                <w:lang w:val="en-US" w:eastAsia="zh-CN" w:bidi="ar"/>
              </w:rPr>
            </w:pPr>
          </w:p>
        </w:tc>
      </w:tr>
      <w:tr w14:paraId="46E73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4"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9068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sz w:val="30"/>
                <w:szCs w:val="30"/>
                <w:u w:val="none"/>
              </w:rPr>
              <w:t>②</w:t>
            </w:r>
          </w:p>
        </w:tc>
        <w:tc>
          <w:tcPr>
            <w:tcW w:w="1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B01B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血液病相关基因定性检测</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1BA2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20</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AE42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400</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3FC0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8000</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0E82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30"/>
                <w:szCs w:val="30"/>
                <w:u w:val="none"/>
                <w:lang w:val="en-US" w:eastAsia="zh-CN" w:bidi="ar"/>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7980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30"/>
                <w:szCs w:val="30"/>
                <w:u w:val="none"/>
                <w:lang w:val="en-US" w:eastAsia="zh-CN" w:bidi="ar"/>
              </w:rPr>
            </w:pPr>
          </w:p>
        </w:tc>
      </w:tr>
      <w:tr w14:paraId="7CA5E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BD5D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sz w:val="30"/>
                <w:szCs w:val="30"/>
                <w:u w:val="none"/>
              </w:rPr>
              <w:t>③</w:t>
            </w:r>
          </w:p>
        </w:tc>
        <w:tc>
          <w:tcPr>
            <w:tcW w:w="1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21C4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血液病相关基因定量检测</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2FB0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20</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5A62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500</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3F2C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10000</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F047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30"/>
                <w:szCs w:val="30"/>
                <w:u w:val="none"/>
                <w:lang w:val="en-US" w:eastAsia="zh-CN" w:bidi="ar"/>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4DF8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30"/>
                <w:szCs w:val="30"/>
                <w:u w:val="none"/>
                <w:lang w:val="en-US" w:eastAsia="zh-CN" w:bidi="ar"/>
              </w:rPr>
            </w:pPr>
          </w:p>
        </w:tc>
      </w:tr>
      <w:tr w14:paraId="2D723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C8F0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sz w:val="30"/>
                <w:szCs w:val="30"/>
                <w:u w:val="none"/>
              </w:rPr>
              <w:t>④</w:t>
            </w:r>
          </w:p>
        </w:tc>
        <w:tc>
          <w:tcPr>
            <w:tcW w:w="1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B16F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人细小病毒B19IgM抗体</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5184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20</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C459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80</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0DAB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1600</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9C2F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30"/>
                <w:szCs w:val="30"/>
                <w:u w:val="none"/>
                <w:lang w:val="en-US" w:eastAsia="zh-CN" w:bidi="ar"/>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2F8D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30"/>
                <w:szCs w:val="30"/>
                <w:u w:val="none"/>
                <w:lang w:val="en-US" w:eastAsia="zh-CN" w:bidi="ar"/>
              </w:rPr>
            </w:pPr>
          </w:p>
        </w:tc>
      </w:tr>
      <w:tr w14:paraId="19BBB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1309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sz w:val="30"/>
                <w:szCs w:val="30"/>
                <w:u w:val="none"/>
              </w:rPr>
              <w:t>⑤</w:t>
            </w:r>
          </w:p>
        </w:tc>
        <w:tc>
          <w:tcPr>
            <w:tcW w:w="1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2C4A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人细小病毒B19lgG抗体</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38DD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20</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118F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80</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A44C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1600</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0694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30"/>
                <w:szCs w:val="30"/>
                <w:u w:val="none"/>
                <w:lang w:val="en-US" w:eastAsia="zh-CN" w:bidi="ar"/>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E9D3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30"/>
                <w:szCs w:val="30"/>
                <w:u w:val="none"/>
                <w:lang w:val="en-US" w:eastAsia="zh-CN" w:bidi="ar"/>
              </w:rPr>
            </w:pPr>
          </w:p>
        </w:tc>
      </w:tr>
      <w:tr w14:paraId="694B3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8540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sz w:val="30"/>
                <w:szCs w:val="30"/>
                <w:u w:val="none"/>
              </w:rPr>
              <w:t>⑥</w:t>
            </w:r>
          </w:p>
        </w:tc>
        <w:tc>
          <w:tcPr>
            <w:tcW w:w="1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B4DE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血液肿瘤染色体核型分析</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CE7D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20</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9F0A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450</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20B4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9000</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E25C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30"/>
                <w:szCs w:val="30"/>
                <w:u w:val="none"/>
                <w:lang w:val="en-US" w:eastAsia="zh-CN" w:bidi="ar"/>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DEFB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30"/>
                <w:szCs w:val="30"/>
                <w:u w:val="none"/>
                <w:lang w:val="en-US" w:eastAsia="zh-CN" w:bidi="ar"/>
              </w:rPr>
            </w:pPr>
          </w:p>
        </w:tc>
      </w:tr>
      <w:tr w14:paraId="0AAE0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86C2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sz w:val="30"/>
                <w:szCs w:val="30"/>
                <w:u w:val="none"/>
              </w:rPr>
              <w:t>⑦</w:t>
            </w:r>
          </w:p>
        </w:tc>
        <w:tc>
          <w:tcPr>
            <w:tcW w:w="1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80DC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染色体核型分析</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FDD0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75</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D4F0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450</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1024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33750</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A6F0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30"/>
                <w:szCs w:val="30"/>
                <w:u w:val="none"/>
                <w:lang w:val="en-US" w:eastAsia="zh-CN" w:bidi="ar"/>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42E1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30"/>
                <w:szCs w:val="30"/>
                <w:u w:val="none"/>
                <w:lang w:val="en-US" w:eastAsia="zh-CN" w:bidi="ar"/>
              </w:rPr>
            </w:pPr>
          </w:p>
        </w:tc>
      </w:tr>
      <w:tr w14:paraId="12B4D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BB7F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sz w:val="30"/>
                <w:szCs w:val="30"/>
                <w:u w:val="none"/>
              </w:rPr>
              <w:t>⑧</w:t>
            </w:r>
          </w:p>
        </w:tc>
        <w:tc>
          <w:tcPr>
            <w:tcW w:w="1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FE99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白血病55种融合基因</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BA15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25</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596C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1520</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D78A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38000</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C7F3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30"/>
                <w:szCs w:val="30"/>
                <w:u w:val="none"/>
                <w:lang w:val="en-US" w:eastAsia="zh-CN" w:bidi="ar"/>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33FE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30"/>
                <w:szCs w:val="30"/>
                <w:u w:val="none"/>
                <w:lang w:val="en-US" w:eastAsia="zh-CN" w:bidi="ar"/>
              </w:rPr>
            </w:pPr>
          </w:p>
        </w:tc>
      </w:tr>
      <w:tr w14:paraId="22D4C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9DDC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sz w:val="30"/>
                <w:szCs w:val="30"/>
                <w:u w:val="none"/>
              </w:rPr>
              <w:t>⑨</w:t>
            </w:r>
          </w:p>
        </w:tc>
        <w:tc>
          <w:tcPr>
            <w:tcW w:w="1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24E2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胃肠道肿瘤基因甲基化血液联合检测</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E9B5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20</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64E3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700</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B869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14000</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2D62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30"/>
                <w:szCs w:val="30"/>
                <w:u w:val="none"/>
                <w:lang w:val="en-US" w:eastAsia="zh-CN" w:bidi="ar"/>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E2CE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30"/>
                <w:szCs w:val="30"/>
                <w:u w:val="none"/>
                <w:lang w:val="en-US" w:eastAsia="zh-CN" w:bidi="ar"/>
              </w:rPr>
            </w:pPr>
          </w:p>
        </w:tc>
      </w:tr>
      <w:tr w14:paraId="10CCF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294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B1E7C4">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投标总计合计</w:t>
            </w:r>
          </w:p>
        </w:tc>
        <w:tc>
          <w:tcPr>
            <w:tcW w:w="205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AF08C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30"/>
                <w:szCs w:val="30"/>
                <w:u w:val="none"/>
                <w:lang w:val="en-US" w:eastAsia="zh-CN" w:bidi="ar"/>
              </w:rPr>
            </w:pPr>
          </w:p>
        </w:tc>
      </w:tr>
    </w:tbl>
    <w:p w14:paraId="05BEDD49">
      <w:pPr>
        <w:rPr>
          <w:rFonts w:ascii="宋体" w:hAnsi="宋体" w:eastAsia="宋体"/>
          <w:sz w:val="24"/>
          <w:szCs w:val="24"/>
          <w:lang w:val="zh-CN"/>
        </w:rPr>
      </w:pPr>
    </w:p>
    <w:p w14:paraId="67D89C5A">
      <w:pPr>
        <w:rPr>
          <w:rFonts w:ascii="宋体" w:hAnsi="宋体" w:eastAsia="宋体"/>
          <w:sz w:val="24"/>
          <w:szCs w:val="24"/>
          <w:lang w:val="zh-CN"/>
        </w:rPr>
      </w:pPr>
    </w:p>
    <w:p w14:paraId="4E86B8AD">
      <w:pPr>
        <w:rPr>
          <w:rFonts w:ascii="宋体" w:hAnsi="宋体" w:eastAsia="宋体"/>
          <w:sz w:val="24"/>
          <w:szCs w:val="24"/>
          <w:lang w:val="zh-CN"/>
        </w:rPr>
      </w:pPr>
    </w:p>
    <w:p w14:paraId="575437C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b/>
          <w:color w:val="000000"/>
          <w:sz w:val="28"/>
          <w:szCs w:val="28"/>
          <w:lang w:eastAsia="zh-CN"/>
        </w:rPr>
      </w:pPr>
      <w:r>
        <w:rPr>
          <w:rFonts w:hint="eastAsia" w:ascii="宋体" w:hAnsi="宋体" w:eastAsia="宋体"/>
          <w:b/>
          <w:color w:val="000000"/>
          <w:sz w:val="28"/>
          <w:szCs w:val="28"/>
          <w:lang w:val="en-US" w:eastAsia="zh-CN"/>
        </w:rPr>
        <w:t>三、</w:t>
      </w:r>
      <w:r>
        <w:rPr>
          <w:rFonts w:hint="eastAsia" w:ascii="宋体" w:hAnsi="宋体" w:eastAsia="宋体"/>
          <w:b/>
          <w:color w:val="000000"/>
          <w:sz w:val="28"/>
          <w:szCs w:val="28"/>
          <w:lang w:eastAsia="zh-CN"/>
        </w:rPr>
        <w:t>报名产品</w:t>
      </w:r>
      <w:r>
        <w:rPr>
          <w:rFonts w:hint="eastAsia" w:ascii="宋体" w:hAnsi="宋体" w:eastAsia="宋体"/>
          <w:b/>
          <w:color w:val="000000"/>
          <w:sz w:val="28"/>
          <w:szCs w:val="28"/>
        </w:rPr>
        <w:t>情况介绍表</w:t>
      </w:r>
      <w:r>
        <w:rPr>
          <w:rFonts w:hint="eastAsia" w:ascii="宋体" w:hAnsi="宋体" w:eastAsia="宋体"/>
          <w:b/>
          <w:color w:val="000000"/>
          <w:sz w:val="28"/>
          <w:szCs w:val="28"/>
          <w:lang w:eastAsia="zh-CN"/>
        </w:rPr>
        <w:t>（</w:t>
      </w:r>
      <w:r>
        <w:rPr>
          <w:rFonts w:hint="eastAsia" w:ascii="宋体" w:hAnsi="宋体" w:eastAsia="宋体"/>
          <w:b/>
          <w:color w:val="000000"/>
          <w:sz w:val="28"/>
          <w:szCs w:val="28"/>
          <w:lang w:val="en-US" w:eastAsia="zh-CN"/>
        </w:rPr>
        <w:t>服务项目除外</w:t>
      </w:r>
      <w:r>
        <w:rPr>
          <w:rFonts w:hint="eastAsia" w:ascii="宋体" w:hAnsi="宋体" w:eastAsia="宋体"/>
          <w:b/>
          <w:color w:val="000000"/>
          <w:sz w:val="28"/>
          <w:szCs w:val="28"/>
          <w:lang w:eastAsia="zh-CN"/>
        </w:rPr>
        <w:t>）</w:t>
      </w:r>
    </w:p>
    <w:p w14:paraId="073DE86C">
      <w:pPr>
        <w:rPr>
          <w:rFonts w:ascii="宋体" w:hAnsi="宋体" w:eastAsia="宋体"/>
          <w:sz w:val="24"/>
          <w:szCs w:val="24"/>
          <w:lang w:val="zh-CN"/>
        </w:rPr>
      </w:pPr>
    </w:p>
    <w:p w14:paraId="211268E1">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lang w:eastAsia="zh-CN"/>
        </w:rPr>
        <w:t>报名产品</w:t>
      </w:r>
      <w:r>
        <w:rPr>
          <w:rFonts w:hint="eastAsia" w:ascii="宋体" w:hAnsi="宋体" w:eastAsia="宋体"/>
          <w:color w:val="000000"/>
          <w:sz w:val="24"/>
          <w:szCs w:val="24"/>
        </w:rPr>
        <w:t>情况介绍表</w:t>
      </w:r>
    </w:p>
    <w:p w14:paraId="7CF11329">
      <w:pPr>
        <w:spacing w:line="360" w:lineRule="auto"/>
        <w:jc w:val="center"/>
        <w:rPr>
          <w:rFonts w:hint="eastAsia" w:ascii="宋体" w:hAnsi="宋体" w:eastAsia="宋体"/>
          <w:color w:val="000000"/>
          <w:sz w:val="24"/>
          <w:szCs w:val="24"/>
        </w:rPr>
      </w:pPr>
    </w:p>
    <w:tbl>
      <w:tblPr>
        <w:tblStyle w:val="11"/>
        <w:tblW w:w="829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575"/>
        <w:gridCol w:w="1423"/>
        <w:gridCol w:w="851"/>
        <w:gridCol w:w="923"/>
        <w:gridCol w:w="1775"/>
        <w:gridCol w:w="1412"/>
        <w:gridCol w:w="1337"/>
      </w:tblGrid>
      <w:tr w14:paraId="5547FA2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4DC113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5A08395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eastAsia="zh-CN"/>
              </w:rPr>
              <w:t>产品</w:t>
            </w:r>
            <w:r>
              <w:rPr>
                <w:rFonts w:hint="eastAsia" w:ascii="宋体" w:hAnsi="宋体" w:eastAsia="宋体"/>
                <w:color w:val="000000"/>
                <w:sz w:val="24"/>
                <w:szCs w:val="24"/>
              </w:rPr>
              <w:t>名称</w:t>
            </w:r>
          </w:p>
        </w:tc>
        <w:tc>
          <w:tcPr>
            <w:tcW w:w="851" w:type="dxa"/>
            <w:tcBorders>
              <w:right w:val="single" w:color="auto" w:sz="4" w:space="0"/>
            </w:tcBorders>
            <w:vAlign w:val="center"/>
          </w:tcPr>
          <w:p w14:paraId="1E01DA2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品牌</w:t>
            </w:r>
          </w:p>
        </w:tc>
        <w:tc>
          <w:tcPr>
            <w:tcW w:w="923" w:type="dxa"/>
            <w:tcBorders>
              <w:left w:val="single" w:color="auto" w:sz="4" w:space="0"/>
            </w:tcBorders>
            <w:vAlign w:val="center"/>
          </w:tcPr>
          <w:p w14:paraId="429B6C6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型号</w:t>
            </w:r>
          </w:p>
        </w:tc>
        <w:tc>
          <w:tcPr>
            <w:tcW w:w="1775" w:type="dxa"/>
            <w:tcBorders>
              <w:right w:val="single" w:color="auto" w:sz="4" w:space="0"/>
            </w:tcBorders>
            <w:vAlign w:val="center"/>
          </w:tcPr>
          <w:p w14:paraId="33BCE96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生产厂家</w:t>
            </w:r>
          </w:p>
        </w:tc>
        <w:tc>
          <w:tcPr>
            <w:tcW w:w="1412" w:type="dxa"/>
            <w:tcBorders>
              <w:left w:val="single" w:color="auto" w:sz="4" w:space="0"/>
              <w:right w:val="single" w:color="auto" w:sz="4" w:space="0"/>
            </w:tcBorders>
            <w:vAlign w:val="center"/>
          </w:tcPr>
          <w:p w14:paraId="0790970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产地</w:t>
            </w:r>
          </w:p>
        </w:tc>
        <w:tc>
          <w:tcPr>
            <w:tcW w:w="1337" w:type="dxa"/>
            <w:tcBorders>
              <w:left w:val="single" w:color="auto" w:sz="4" w:space="0"/>
            </w:tcBorders>
            <w:vAlign w:val="center"/>
          </w:tcPr>
          <w:p w14:paraId="5D9A8134">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备注</w:t>
            </w:r>
          </w:p>
        </w:tc>
      </w:tr>
      <w:tr w14:paraId="1F0C926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3BBAAD0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1D73839A">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3892877">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1631872D">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41176152">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2B27BA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505CFCCA">
            <w:pPr>
              <w:snapToGrid w:val="0"/>
              <w:spacing w:line="360" w:lineRule="auto"/>
              <w:jc w:val="center"/>
              <w:rPr>
                <w:rFonts w:ascii="宋体" w:hAnsi="宋体" w:eastAsia="宋体"/>
                <w:color w:val="000000"/>
                <w:sz w:val="24"/>
                <w:szCs w:val="24"/>
              </w:rPr>
            </w:pPr>
          </w:p>
        </w:tc>
      </w:tr>
      <w:tr w14:paraId="0708810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133AF52F">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76C894C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03F1086">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7CD19222">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143E30B6">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BEF9F2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5652776">
            <w:pPr>
              <w:snapToGrid w:val="0"/>
              <w:spacing w:line="360" w:lineRule="auto"/>
              <w:jc w:val="center"/>
              <w:rPr>
                <w:rFonts w:ascii="宋体" w:hAnsi="宋体" w:eastAsia="宋体"/>
                <w:color w:val="000000"/>
                <w:sz w:val="24"/>
                <w:szCs w:val="24"/>
              </w:rPr>
            </w:pPr>
          </w:p>
        </w:tc>
      </w:tr>
      <w:tr w14:paraId="18B1EA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73461C95">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74E75FD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40A322DB">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FD05C1B">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2D0A5D0">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06DED15">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687F403C">
            <w:pPr>
              <w:snapToGrid w:val="0"/>
              <w:spacing w:line="360" w:lineRule="auto"/>
              <w:jc w:val="center"/>
              <w:rPr>
                <w:rFonts w:ascii="宋体" w:hAnsi="宋体" w:eastAsia="宋体"/>
                <w:color w:val="000000"/>
                <w:sz w:val="24"/>
                <w:szCs w:val="24"/>
              </w:rPr>
            </w:pPr>
          </w:p>
        </w:tc>
      </w:tr>
      <w:tr w14:paraId="7B21A9D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76981A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1CA3C8D">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76054E1">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4000E1E">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3EE5D50B">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0BACBD9F">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F86152D">
            <w:pPr>
              <w:snapToGrid w:val="0"/>
              <w:spacing w:line="360" w:lineRule="auto"/>
              <w:jc w:val="center"/>
              <w:rPr>
                <w:rFonts w:ascii="宋体" w:hAnsi="宋体" w:eastAsia="宋体"/>
                <w:color w:val="000000"/>
                <w:sz w:val="24"/>
                <w:szCs w:val="24"/>
              </w:rPr>
            </w:pPr>
          </w:p>
        </w:tc>
      </w:tr>
      <w:tr w14:paraId="37E2739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5973840">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3C56FCA0">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826D25D">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55AAE238">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7445946A">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8A3E39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746ABAF5">
            <w:pPr>
              <w:snapToGrid w:val="0"/>
              <w:spacing w:line="360" w:lineRule="auto"/>
              <w:jc w:val="center"/>
              <w:rPr>
                <w:rFonts w:ascii="宋体" w:hAnsi="宋体" w:eastAsia="宋体"/>
                <w:color w:val="000000"/>
                <w:sz w:val="24"/>
                <w:szCs w:val="24"/>
              </w:rPr>
            </w:pPr>
          </w:p>
        </w:tc>
      </w:tr>
    </w:tbl>
    <w:p w14:paraId="3998F540"/>
    <w:p w14:paraId="03F00AFD">
      <w:pPr>
        <w:rPr>
          <w:rFonts w:ascii="宋体" w:hAnsi="宋体" w:eastAsia="宋体"/>
          <w:sz w:val="24"/>
          <w:szCs w:val="24"/>
          <w:lang w:val="zh-CN"/>
        </w:rPr>
      </w:pPr>
      <w:r>
        <w:br w:type="page"/>
      </w: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四、</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五、投标供应商基本情况表</w:t>
      </w:r>
    </w:p>
    <w:p w14:paraId="5C29D871">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（营业执照、资质证书等复印件）</w:t>
      </w:r>
    </w:p>
    <w:p w14:paraId="00C9085F">
      <w:pPr>
        <w:pStyle w:val="4"/>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p>
    <w:p w14:paraId="525E6D2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45F7E777">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六、</w:t>
      </w:r>
      <w:r>
        <w:rPr>
          <w:rFonts w:hint="eastAsia" w:ascii="宋体" w:hAnsi="宋体" w:eastAsia="宋体" w:cs="宋体"/>
          <w:b/>
          <w:sz w:val="28"/>
          <w:szCs w:val="28"/>
          <w:lang w:val="en-US" w:eastAsia="zh-CN"/>
        </w:rPr>
        <w:t xml:space="preserve">提供具有独立承担民事责任的能力的证明材料 </w:t>
      </w:r>
    </w:p>
    <w:p w14:paraId="243487B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3A0EE01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70DF4DDD">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七、</w:t>
      </w:r>
      <w:r>
        <w:rPr>
          <w:rFonts w:hint="eastAsia" w:ascii="宋体" w:hAnsi="宋体" w:eastAsia="宋体" w:cs="宋体"/>
          <w:b/>
          <w:sz w:val="28"/>
          <w:szCs w:val="28"/>
          <w:lang w:val="en-US" w:eastAsia="zh-CN"/>
        </w:rPr>
        <w:t xml:space="preserve">提供具有良好的商业信誉和健全的财务会计制度的证明材料 </w:t>
      </w:r>
    </w:p>
    <w:p w14:paraId="5E06B6D3">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4AF680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11698B29">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八、</w:t>
      </w:r>
      <w:r>
        <w:rPr>
          <w:rFonts w:hint="eastAsia" w:ascii="宋体" w:hAnsi="宋体" w:eastAsia="宋体" w:cs="宋体"/>
          <w:b/>
          <w:sz w:val="28"/>
          <w:szCs w:val="28"/>
          <w:lang w:val="en-US" w:eastAsia="zh-CN"/>
        </w:rPr>
        <w:t xml:space="preserve">提供依法缴纳税收和社会保障资金的良好记录 </w:t>
      </w:r>
    </w:p>
    <w:p w14:paraId="1170777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208AA8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08E17C9C">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九、</w:t>
      </w:r>
      <w:r>
        <w:rPr>
          <w:rFonts w:hint="eastAsia" w:ascii="宋体" w:hAnsi="宋体" w:eastAsia="宋体" w:cs="宋体"/>
          <w:b/>
          <w:sz w:val="28"/>
          <w:szCs w:val="28"/>
          <w:lang w:val="en-US" w:eastAsia="zh-CN"/>
        </w:rPr>
        <w:t xml:space="preserve">具有履行合同所必须的设备和专业技术能力的声明 </w:t>
      </w:r>
    </w:p>
    <w:p w14:paraId="64D3257E">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6AC0B6E">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16AC8A1A">
      <w:pPr>
        <w:pStyle w:val="4"/>
        <w:rPr>
          <w:rFonts w:hint="eastAsia"/>
          <w:lang w:val="en-US" w:eastAsia="zh-CN"/>
        </w:rPr>
      </w:pPr>
    </w:p>
    <w:p w14:paraId="1A01063A">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十、</w:t>
      </w:r>
      <w:r>
        <w:rPr>
          <w:rFonts w:hint="eastAsia" w:ascii="宋体" w:hAnsi="宋体" w:eastAsia="宋体" w:cs="宋体"/>
          <w:b/>
          <w:sz w:val="28"/>
          <w:szCs w:val="28"/>
          <w:lang w:val="en-US" w:eastAsia="zh-CN"/>
        </w:rPr>
        <w:t>业绩证明材料（如有）</w:t>
      </w:r>
    </w:p>
    <w:p w14:paraId="58D875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十一、</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本次采购</w:t>
      </w:r>
      <w:r>
        <w:rPr>
          <w:rFonts w:hint="eastAsia" w:ascii="宋体" w:hAnsi="宋体" w:eastAsia="宋体" w:cs="宋体"/>
          <w:b/>
          <w:bCs/>
          <w:sz w:val="28"/>
          <w:szCs w:val="28"/>
          <w:lang w:val="en-US" w:eastAsia="zh-CN"/>
        </w:rPr>
        <w:t>前三年内在经营活动中无重大违法记录书面声明(后附信用记录截图）</w:t>
      </w:r>
    </w:p>
    <w:p w14:paraId="2289E3D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087AA91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7B4D693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参加本次采购前三年内在经营活动中无重大违法记录</w:t>
      </w:r>
    </w:p>
    <w:p w14:paraId="339246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32478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1E8F2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cs="宋体"/>
          <w:b w:val="0"/>
          <w:bCs w:val="0"/>
          <w:sz w:val="28"/>
          <w:szCs w:val="28"/>
          <w:u w:val="none"/>
          <w:lang w:val="en-US" w:eastAsia="zh-CN"/>
        </w:rPr>
        <w:t>鄂尔多斯市中心医院</w:t>
      </w:r>
    </w:p>
    <w:p w14:paraId="780471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投标供应商名称）近三年内，在经营活动中无重大违法记录，特此声明。</w:t>
      </w:r>
    </w:p>
    <w:p w14:paraId="0DA4B91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若招标采购单位在本项目采购过程中发现我单位近三年内在经营活动中有重大违法记录，我单位将无条件地退出本项目的招标，并承担因此引起的一切后果。</w:t>
      </w:r>
    </w:p>
    <w:p w14:paraId="42A6307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6DCF640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448A7CB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6165A69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698821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AD287F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718C965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30ABC3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 xml:space="preserve"> </w:t>
      </w: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十二、主要商务要求承诺书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2A0242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2E162F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01728B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1E2A8D7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7F3D6FCC">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4626C80D">
      <w:pPr>
        <w:pStyle w:val="4"/>
        <w:rPr>
          <w:rFonts w:hint="eastAsia" w:ascii="宋体" w:hAnsi="宋体" w:eastAsia="宋体" w:cs="宋体"/>
          <w:sz w:val="24"/>
          <w:szCs w:val="24"/>
          <w:lang w:val="en-US" w:eastAsia="zh-CN"/>
        </w:rPr>
      </w:pPr>
    </w:p>
    <w:p w14:paraId="08332702">
      <w:pPr>
        <w:rPr>
          <w:rFonts w:hint="eastAsia" w:ascii="宋体" w:hAnsi="宋体" w:eastAsia="宋体" w:cs="宋体"/>
          <w:sz w:val="24"/>
          <w:szCs w:val="24"/>
          <w:lang w:val="en-US" w:eastAsia="zh-CN"/>
        </w:rPr>
      </w:pPr>
    </w:p>
    <w:p w14:paraId="18FE44E1">
      <w:pPr>
        <w:pStyle w:val="4"/>
        <w:rPr>
          <w:rFonts w:hint="eastAsia" w:ascii="宋体" w:hAnsi="宋体" w:eastAsia="宋体" w:cs="宋体"/>
          <w:sz w:val="24"/>
          <w:szCs w:val="24"/>
          <w:lang w:val="en-US" w:eastAsia="zh-CN"/>
        </w:rPr>
      </w:pPr>
    </w:p>
    <w:p w14:paraId="09C0FD3C">
      <w:pPr>
        <w:rPr>
          <w:rFonts w:hint="eastAsia" w:ascii="宋体" w:hAnsi="宋体" w:eastAsia="宋体" w:cs="宋体"/>
          <w:sz w:val="24"/>
          <w:szCs w:val="24"/>
          <w:lang w:val="en-US" w:eastAsia="zh-CN"/>
        </w:rPr>
      </w:pPr>
    </w:p>
    <w:p w14:paraId="5A3B4632">
      <w:pPr>
        <w:pStyle w:val="4"/>
        <w:rPr>
          <w:rFonts w:hint="eastAsia" w:ascii="宋体" w:hAnsi="宋体" w:eastAsia="宋体" w:cs="宋体"/>
          <w:sz w:val="24"/>
          <w:szCs w:val="24"/>
          <w:lang w:val="en-US" w:eastAsia="zh-CN"/>
        </w:rPr>
      </w:pPr>
    </w:p>
    <w:p w14:paraId="7B8DFA4A">
      <w:pPr>
        <w:rPr>
          <w:rFonts w:hint="eastAsia" w:ascii="宋体" w:hAnsi="宋体" w:eastAsia="宋体" w:cs="宋体"/>
          <w:sz w:val="24"/>
          <w:szCs w:val="24"/>
          <w:lang w:val="en-US" w:eastAsia="zh-CN"/>
        </w:rPr>
      </w:pPr>
    </w:p>
    <w:p w14:paraId="31CA8273">
      <w:pPr>
        <w:pStyle w:val="4"/>
        <w:rPr>
          <w:rFonts w:hint="eastAsia" w:ascii="宋体" w:hAnsi="宋体" w:eastAsia="宋体" w:cs="宋体"/>
          <w:sz w:val="24"/>
          <w:szCs w:val="24"/>
          <w:lang w:val="en-US" w:eastAsia="zh-CN"/>
        </w:rPr>
      </w:pPr>
    </w:p>
    <w:p w14:paraId="53ED03A9">
      <w:pPr>
        <w:rPr>
          <w:rFonts w:hint="eastAsia" w:ascii="宋体" w:hAnsi="宋体" w:eastAsia="宋体" w:cs="宋体"/>
          <w:sz w:val="24"/>
          <w:szCs w:val="24"/>
          <w:lang w:val="en-US" w:eastAsia="zh-CN"/>
        </w:rPr>
      </w:pPr>
    </w:p>
    <w:p w14:paraId="01C761B8">
      <w:pPr>
        <w:pStyle w:val="4"/>
        <w:rPr>
          <w:rFonts w:hint="eastAsia" w:ascii="宋体" w:hAnsi="宋体" w:eastAsia="宋体" w:cs="宋体"/>
          <w:sz w:val="24"/>
          <w:szCs w:val="24"/>
          <w:lang w:val="en-US" w:eastAsia="zh-CN"/>
        </w:rPr>
      </w:pPr>
    </w:p>
    <w:p w14:paraId="66AE0849">
      <w:pPr>
        <w:rPr>
          <w:rFonts w:hint="eastAsia" w:ascii="宋体" w:hAnsi="宋体" w:eastAsia="宋体" w:cs="宋体"/>
          <w:sz w:val="24"/>
          <w:szCs w:val="24"/>
          <w:lang w:val="en-US" w:eastAsia="zh-CN"/>
        </w:rPr>
      </w:pPr>
    </w:p>
    <w:p w14:paraId="639A3F45">
      <w:pPr>
        <w:pStyle w:val="4"/>
        <w:rPr>
          <w:rFonts w:hint="eastAsia" w:ascii="宋体" w:hAnsi="宋体" w:eastAsia="宋体" w:cs="宋体"/>
          <w:sz w:val="24"/>
          <w:szCs w:val="24"/>
          <w:lang w:val="en-US" w:eastAsia="zh-CN"/>
        </w:rPr>
      </w:pPr>
    </w:p>
    <w:p w14:paraId="786368EA">
      <w:pPr>
        <w:rPr>
          <w:rFonts w:hint="eastAsia" w:ascii="宋体" w:hAnsi="宋体" w:eastAsia="宋体" w:cs="宋体"/>
          <w:sz w:val="24"/>
          <w:szCs w:val="24"/>
          <w:lang w:val="en-US" w:eastAsia="zh-CN"/>
        </w:rPr>
      </w:pPr>
    </w:p>
    <w:p w14:paraId="1A65CB71">
      <w:pPr>
        <w:pStyle w:val="4"/>
        <w:rPr>
          <w:rFonts w:hint="eastAsia" w:ascii="宋体" w:hAnsi="宋体" w:eastAsia="宋体" w:cs="宋体"/>
          <w:sz w:val="24"/>
          <w:szCs w:val="24"/>
          <w:lang w:val="en-US" w:eastAsia="zh-CN"/>
        </w:rPr>
      </w:pPr>
    </w:p>
    <w:p w14:paraId="3B4801E4">
      <w:pPr>
        <w:rPr>
          <w:rFonts w:hint="eastAsia"/>
          <w:lang w:val="en-US" w:eastAsia="zh-CN"/>
        </w:rPr>
      </w:pPr>
    </w:p>
    <w:p w14:paraId="5EEB377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 xml:space="preserve">十三、技术参数偏离表 </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DB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7A99F0F2">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20" w:type="dxa"/>
            <w:vAlign w:val="top"/>
          </w:tcPr>
          <w:p w14:paraId="6D9A99C9">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参数性质（是否标</w:t>
            </w:r>
            <w:r>
              <w:rPr>
                <w:rFonts w:hint="eastAsia" w:ascii="宋体" w:hAnsi="宋体" w:eastAsia="宋体" w:cs="宋体"/>
                <w:sz w:val="21"/>
                <w:szCs w:val="21"/>
                <w:lang w:val="en-US" w:eastAsia="zh-CN" w:bidi="lo-LA"/>
              </w:rPr>
              <w:t>★</w:t>
            </w:r>
            <w:r>
              <w:rPr>
                <w:rFonts w:hint="eastAsia" w:ascii="宋体" w:hAnsi="宋体" w:eastAsia="宋体" w:cs="宋体"/>
                <w:sz w:val="24"/>
                <w:szCs w:val="24"/>
                <w:lang w:val="en-US" w:eastAsia="zh-CN"/>
              </w:rPr>
              <w:t>）</w:t>
            </w:r>
          </w:p>
        </w:tc>
        <w:tc>
          <w:tcPr>
            <w:tcW w:w="1420" w:type="dxa"/>
            <w:vAlign w:val="top"/>
          </w:tcPr>
          <w:p w14:paraId="07910457">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招采技术参数与要求</w:t>
            </w:r>
          </w:p>
        </w:tc>
        <w:tc>
          <w:tcPr>
            <w:tcW w:w="1420" w:type="dxa"/>
            <w:vAlign w:val="top"/>
          </w:tcPr>
          <w:p w14:paraId="3AA99D90">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投标人提供响应内容</w:t>
            </w:r>
          </w:p>
        </w:tc>
        <w:tc>
          <w:tcPr>
            <w:tcW w:w="1421" w:type="dxa"/>
            <w:vAlign w:val="top"/>
          </w:tcPr>
          <w:p w14:paraId="70C9BDF5">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偏离程度</w:t>
            </w:r>
          </w:p>
        </w:tc>
        <w:tc>
          <w:tcPr>
            <w:tcW w:w="1421" w:type="dxa"/>
            <w:vAlign w:val="top"/>
          </w:tcPr>
          <w:p w14:paraId="32004C7D">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402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5B8D944C">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0" w:type="dxa"/>
            <w:vAlign w:val="top"/>
          </w:tcPr>
          <w:p w14:paraId="482ABF5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133B221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EBCE16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2869C00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7DFBBA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3DF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0DA0FA6E">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0" w:type="dxa"/>
            <w:vAlign w:val="top"/>
          </w:tcPr>
          <w:p w14:paraId="37C6E467">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A4A6BF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259FED2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63B2A2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D9E816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4E45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281C2EF8">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0" w:type="dxa"/>
            <w:vAlign w:val="top"/>
          </w:tcPr>
          <w:p w14:paraId="6662EA3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F79D0A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5387C5E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4DA16A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AE8624D">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27D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4525D14B">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20" w:type="dxa"/>
            <w:vAlign w:val="top"/>
          </w:tcPr>
          <w:p w14:paraId="1C86964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AB0E11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7E410375">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7F8541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50A87D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bl>
    <w:p w14:paraId="7D07D36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说明：</w:t>
      </w:r>
    </w:p>
    <w:p w14:paraId="2A7AD53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1.投标人应当如实填写上表“投标人提供响应内容”处内容，对招采文件提出的要求和条件作出明确响应，并列明具体响应数值或内容，只注明符合、满足等无具体内容表述的，将视为未实质性满足招采文件要求。 </w:t>
      </w:r>
    </w:p>
    <w:p w14:paraId="0B49F37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2.“偏离程度”处可填写满足、响应或正偏离、负偏离。 </w:t>
      </w:r>
    </w:p>
    <w:p w14:paraId="72F6EE90">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 xml:space="preserve">3.“备注”处可填写偏离情况的具体说明。 </w:t>
      </w:r>
    </w:p>
    <w:p w14:paraId="7D7820C7">
      <w:pPr>
        <w:pStyle w:val="4"/>
        <w:rPr>
          <w:rFonts w:hint="eastAsia"/>
        </w:rPr>
      </w:pPr>
    </w:p>
    <w:p w14:paraId="2104070E">
      <w:pPr>
        <w:keepNext w:val="0"/>
        <w:keepLines w:val="0"/>
        <w:pageBreakBefore w:val="0"/>
        <w:widowControl/>
        <w:numPr>
          <w:ilvl w:val="0"/>
          <w:numId w:val="6"/>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综合评审各项要求</w:t>
      </w:r>
    </w:p>
    <w:p w14:paraId="17F60C46">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right="0" w:rightChars="0"/>
        <w:jc w:val="left"/>
        <w:textAlignment w:val="auto"/>
        <w:rPr>
          <w:rFonts w:hint="default" w:ascii="宋体" w:hAnsi="宋体" w:eastAsia="宋体" w:cs="宋体"/>
          <w:b/>
          <w:sz w:val="28"/>
          <w:szCs w:val="28"/>
          <w:lang w:val="en-US" w:eastAsia="zh-CN"/>
        </w:rPr>
      </w:pPr>
    </w:p>
    <w:p w14:paraId="4EF406DE">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十五、其它</w:t>
      </w:r>
    </w:p>
    <w:p w14:paraId="53AD6130">
      <w:pPr>
        <w:tabs>
          <w:tab w:val="left" w:pos="876"/>
        </w:tabs>
        <w:bidi w:val="0"/>
        <w:jc w:val="left"/>
        <w:rPr>
          <w:rFonts w:hint="eastAsia" w:ascii="宋体" w:hAnsi="宋体" w:eastAsia="宋体" w:cs="宋体"/>
          <w:b/>
          <w:sz w:val="24"/>
          <w:szCs w:val="24"/>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0000000000000000000"/>
    <w:charset w:val="86"/>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1">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2">
    <w:nsid w:val="43B5E7C1"/>
    <w:multiLevelType w:val="singleLevel"/>
    <w:tmpl w:val="43B5E7C1"/>
    <w:lvl w:ilvl="0" w:tentative="0">
      <w:start w:val="14"/>
      <w:numFmt w:val="chineseCounting"/>
      <w:suff w:val="nothing"/>
      <w:lvlText w:val="%1、"/>
      <w:lvlJc w:val="left"/>
      <w:rPr>
        <w:rFonts w:hint="eastAsia"/>
      </w:rPr>
    </w:lvl>
  </w:abstractNum>
  <w:abstractNum w:abstractNumId="3">
    <w:nsid w:val="5C6A04CC"/>
    <w:multiLevelType w:val="singleLevel"/>
    <w:tmpl w:val="5C6A04CC"/>
    <w:lvl w:ilvl="0" w:tentative="0">
      <w:start w:val="1"/>
      <w:numFmt w:val="chineseCounting"/>
      <w:suff w:val="space"/>
      <w:lvlText w:val="第%1章"/>
      <w:lvlJc w:val="left"/>
      <w:rPr>
        <w:rFonts w:hint="eastAsia"/>
      </w:rPr>
    </w:lvl>
  </w:abstractNum>
  <w:abstractNum w:abstractNumId="4">
    <w:nsid w:val="6AA9C9E5"/>
    <w:multiLevelType w:val="singleLevel"/>
    <w:tmpl w:val="6AA9C9E5"/>
    <w:lvl w:ilvl="0" w:tentative="0">
      <w:start w:val="2"/>
      <w:numFmt w:val="chineseCounting"/>
      <w:suff w:val="nothing"/>
      <w:lvlText w:val="%1、"/>
      <w:lvlJc w:val="left"/>
      <w:rPr>
        <w:rFonts w:hint="eastAsia"/>
      </w:rPr>
    </w:lvl>
  </w:abstractNum>
  <w:abstractNum w:abstractNumId="5">
    <w:nsid w:val="7A26C23D"/>
    <w:multiLevelType w:val="singleLevel"/>
    <w:tmpl w:val="7A26C23D"/>
    <w:lvl w:ilvl="0" w:tentative="0">
      <w:start w:val="2"/>
      <w:numFmt w:val="chineseCounting"/>
      <w:suff w:val="nothing"/>
      <w:lvlText w:val="（%1）"/>
      <w:lvlJc w:val="left"/>
      <w:rPr>
        <w:rFonts w:hint="eastAsia"/>
      </w:rPr>
    </w:lvl>
  </w:abstractNum>
  <w:num w:numId="1">
    <w:abstractNumId w:val="3"/>
  </w:num>
  <w:num w:numId="2">
    <w:abstractNumId w:val="4"/>
  </w:num>
  <w:num w:numId="3">
    <w:abstractNumId w:val="5"/>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36C2F53"/>
    <w:rsid w:val="03FD05D6"/>
    <w:rsid w:val="05076A5B"/>
    <w:rsid w:val="06264C7F"/>
    <w:rsid w:val="06816E75"/>
    <w:rsid w:val="06B07F83"/>
    <w:rsid w:val="07EE0F70"/>
    <w:rsid w:val="080A65A2"/>
    <w:rsid w:val="08B1656C"/>
    <w:rsid w:val="08CD140E"/>
    <w:rsid w:val="0D257E20"/>
    <w:rsid w:val="0DA07F51"/>
    <w:rsid w:val="0E7331C3"/>
    <w:rsid w:val="0F4E11A2"/>
    <w:rsid w:val="10D60D02"/>
    <w:rsid w:val="114A4798"/>
    <w:rsid w:val="11736C51"/>
    <w:rsid w:val="11AB1717"/>
    <w:rsid w:val="11EF4694"/>
    <w:rsid w:val="13CA2D3B"/>
    <w:rsid w:val="150E71F6"/>
    <w:rsid w:val="1696735F"/>
    <w:rsid w:val="16D52CED"/>
    <w:rsid w:val="16E14FBF"/>
    <w:rsid w:val="19545A30"/>
    <w:rsid w:val="198E5E9E"/>
    <w:rsid w:val="19BD2CB7"/>
    <w:rsid w:val="1B081C72"/>
    <w:rsid w:val="1BB9254A"/>
    <w:rsid w:val="1BFD6DB5"/>
    <w:rsid w:val="1CA63C50"/>
    <w:rsid w:val="1DCA77EF"/>
    <w:rsid w:val="1ED20D4A"/>
    <w:rsid w:val="1EEF1B50"/>
    <w:rsid w:val="20341AF8"/>
    <w:rsid w:val="2092329D"/>
    <w:rsid w:val="214C62A1"/>
    <w:rsid w:val="216D46C6"/>
    <w:rsid w:val="219306DB"/>
    <w:rsid w:val="224C6733"/>
    <w:rsid w:val="23507ADC"/>
    <w:rsid w:val="241F1D5F"/>
    <w:rsid w:val="24A7212A"/>
    <w:rsid w:val="25757733"/>
    <w:rsid w:val="26470B4A"/>
    <w:rsid w:val="266437D3"/>
    <w:rsid w:val="267A5F90"/>
    <w:rsid w:val="26915EA6"/>
    <w:rsid w:val="26DE053E"/>
    <w:rsid w:val="274D7F79"/>
    <w:rsid w:val="276714E7"/>
    <w:rsid w:val="281659F6"/>
    <w:rsid w:val="293A1937"/>
    <w:rsid w:val="29D54044"/>
    <w:rsid w:val="2B28723B"/>
    <w:rsid w:val="2B5C1706"/>
    <w:rsid w:val="2B8A6B32"/>
    <w:rsid w:val="2BAC4D24"/>
    <w:rsid w:val="2D1D3BDB"/>
    <w:rsid w:val="2D833519"/>
    <w:rsid w:val="2DFB03C5"/>
    <w:rsid w:val="2FC378C6"/>
    <w:rsid w:val="2FD9098F"/>
    <w:rsid w:val="2FDF17DF"/>
    <w:rsid w:val="302671DA"/>
    <w:rsid w:val="30D15875"/>
    <w:rsid w:val="32441EA5"/>
    <w:rsid w:val="3281623F"/>
    <w:rsid w:val="32944704"/>
    <w:rsid w:val="3436075B"/>
    <w:rsid w:val="34D54377"/>
    <w:rsid w:val="357A0FA3"/>
    <w:rsid w:val="378A70E6"/>
    <w:rsid w:val="37FC75FC"/>
    <w:rsid w:val="383D56F7"/>
    <w:rsid w:val="393C0F46"/>
    <w:rsid w:val="3A9C766F"/>
    <w:rsid w:val="3E650D1D"/>
    <w:rsid w:val="3E9002A8"/>
    <w:rsid w:val="3F552A03"/>
    <w:rsid w:val="40A31F26"/>
    <w:rsid w:val="420B38E3"/>
    <w:rsid w:val="42E570EA"/>
    <w:rsid w:val="43B51B88"/>
    <w:rsid w:val="44AA028A"/>
    <w:rsid w:val="45D233AD"/>
    <w:rsid w:val="4603606C"/>
    <w:rsid w:val="469A594D"/>
    <w:rsid w:val="47C04769"/>
    <w:rsid w:val="486160DA"/>
    <w:rsid w:val="489F057B"/>
    <w:rsid w:val="4A686022"/>
    <w:rsid w:val="4ABC14C5"/>
    <w:rsid w:val="4AED3729"/>
    <w:rsid w:val="4C422DF2"/>
    <w:rsid w:val="4E473895"/>
    <w:rsid w:val="4FAE4949"/>
    <w:rsid w:val="4FAE723C"/>
    <w:rsid w:val="4FB4704D"/>
    <w:rsid w:val="4FB664D2"/>
    <w:rsid w:val="50110E80"/>
    <w:rsid w:val="511070DA"/>
    <w:rsid w:val="525F3507"/>
    <w:rsid w:val="5277467D"/>
    <w:rsid w:val="53560822"/>
    <w:rsid w:val="557D67C8"/>
    <w:rsid w:val="56153F97"/>
    <w:rsid w:val="56866800"/>
    <w:rsid w:val="571E5CB6"/>
    <w:rsid w:val="576C6B11"/>
    <w:rsid w:val="57863DB7"/>
    <w:rsid w:val="58156ACB"/>
    <w:rsid w:val="58677144"/>
    <w:rsid w:val="59137211"/>
    <w:rsid w:val="5A17370E"/>
    <w:rsid w:val="5A7C4904"/>
    <w:rsid w:val="5A7F4E12"/>
    <w:rsid w:val="5C344BB6"/>
    <w:rsid w:val="5C58632D"/>
    <w:rsid w:val="5DFF20EB"/>
    <w:rsid w:val="5E1C5429"/>
    <w:rsid w:val="5E233CDF"/>
    <w:rsid w:val="5E744882"/>
    <w:rsid w:val="5ED418C8"/>
    <w:rsid w:val="5EE36D23"/>
    <w:rsid w:val="5EF71E76"/>
    <w:rsid w:val="5F0C0F9F"/>
    <w:rsid w:val="5F32513A"/>
    <w:rsid w:val="616C33F6"/>
    <w:rsid w:val="6212481D"/>
    <w:rsid w:val="62DE1443"/>
    <w:rsid w:val="62E24E32"/>
    <w:rsid w:val="64A55108"/>
    <w:rsid w:val="64E47B74"/>
    <w:rsid w:val="65724AA6"/>
    <w:rsid w:val="6585763E"/>
    <w:rsid w:val="65A85339"/>
    <w:rsid w:val="661108EC"/>
    <w:rsid w:val="665F0BE6"/>
    <w:rsid w:val="669049D8"/>
    <w:rsid w:val="67D14995"/>
    <w:rsid w:val="680272B9"/>
    <w:rsid w:val="68204E22"/>
    <w:rsid w:val="683575E4"/>
    <w:rsid w:val="68BD20F9"/>
    <w:rsid w:val="6C0D60E9"/>
    <w:rsid w:val="6C36144B"/>
    <w:rsid w:val="6C951E77"/>
    <w:rsid w:val="6CF91F25"/>
    <w:rsid w:val="6D4F63E7"/>
    <w:rsid w:val="6E2E21FA"/>
    <w:rsid w:val="6EF0008F"/>
    <w:rsid w:val="6F236889"/>
    <w:rsid w:val="6F2A4AF9"/>
    <w:rsid w:val="6F3911E0"/>
    <w:rsid w:val="6F5104C0"/>
    <w:rsid w:val="6F7A7F8F"/>
    <w:rsid w:val="704F20EA"/>
    <w:rsid w:val="70CD0FAF"/>
    <w:rsid w:val="710F0089"/>
    <w:rsid w:val="719B7B32"/>
    <w:rsid w:val="71DA20A9"/>
    <w:rsid w:val="72D20C3B"/>
    <w:rsid w:val="75080C92"/>
    <w:rsid w:val="75554A93"/>
    <w:rsid w:val="764374DD"/>
    <w:rsid w:val="76B838A9"/>
    <w:rsid w:val="78564BB1"/>
    <w:rsid w:val="79003D12"/>
    <w:rsid w:val="7A8D5099"/>
    <w:rsid w:val="7BB21433"/>
    <w:rsid w:val="7D1D14B5"/>
    <w:rsid w:val="7D582F68"/>
    <w:rsid w:val="7F112C06"/>
    <w:rsid w:val="7F14040A"/>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5"/>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character" w:default="1" w:styleId="13">
    <w:name w:val="Default Paragraph Font"/>
    <w:autoRedefine/>
    <w:semiHidden/>
    <w:qFormat/>
    <w:uiPriority w:val="2"/>
  </w:style>
  <w:style w:type="table" w:default="1" w:styleId="11">
    <w:name w:val="Normal Table"/>
    <w:semiHidden/>
    <w:qFormat/>
    <w:uiPriority w:val="3"/>
    <w:tblPr>
      <w:tblCellMar>
        <w:top w:w="0" w:type="dxa"/>
        <w:left w:w="108" w:type="dxa"/>
        <w:bottom w:w="0" w:type="dxa"/>
        <w:right w:w="108" w:type="dxa"/>
      </w:tblCellMar>
    </w:tblPr>
  </w:style>
  <w:style w:type="paragraph" w:styleId="5">
    <w:name w:val="Body Text"/>
    <w:basedOn w:val="1"/>
    <w:next w:val="1"/>
    <w:qFormat/>
    <w:uiPriority w:val="1"/>
    <w:rPr>
      <w:rFonts w:ascii="微软雅黑" w:hAnsi="微软雅黑" w:eastAsia="微软雅黑" w:cs="微软雅黑"/>
      <w:sz w:val="15"/>
      <w:szCs w:val="15"/>
      <w:lang w:val="zh-CN" w:bidi="zh-CN"/>
    </w:rPr>
  </w:style>
  <w:style w:type="paragraph" w:styleId="6">
    <w:name w:val="Plain Text"/>
    <w:basedOn w:val="7"/>
    <w:next w:val="1"/>
    <w:qFormat/>
    <w:uiPriority w:val="0"/>
    <w:rPr>
      <w:rFonts w:ascii="宋体" w:hAnsi="Courier New"/>
    </w:rPr>
  </w:style>
  <w:style w:type="paragraph" w:customStyle="1" w:styleId="7">
    <w:name w:val="Normal_6"/>
    <w:next w:val="6"/>
    <w:qFormat/>
    <w:uiPriority w:val="0"/>
    <w:pPr>
      <w:widowControl w:val="0"/>
      <w:jc w:val="both"/>
    </w:pPr>
    <w:rPr>
      <w:rFonts w:ascii="Times New Roman" w:hAnsi="Times New Roman" w:eastAsia="宋体" w:cs="Times New Roman"/>
      <w:kern w:val="2"/>
      <w:sz w:val="21"/>
      <w:lang w:val="en-US" w:eastAsia="zh-CN" w:bidi="ar-SA"/>
    </w:rPr>
  </w:style>
  <w:style w:type="paragraph" w:styleId="8">
    <w:name w:val="footer"/>
    <w:basedOn w:val="1"/>
    <w:qFormat/>
    <w:uiPriority w:val="151"/>
    <w:pPr>
      <w:tabs>
        <w:tab w:val="center" w:pos="4153"/>
        <w:tab w:val="right" w:pos="8306"/>
      </w:tabs>
      <w:snapToGrid w:val="0"/>
      <w:jc w:val="left"/>
    </w:pPr>
    <w:rPr>
      <w:sz w:val="18"/>
      <w:szCs w:val="18"/>
    </w:rPr>
  </w:style>
  <w:style w:type="paragraph" w:styleId="9">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0">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table" w:styleId="12">
    <w:name w:val="Table Grid"/>
    <w:basedOn w:val="11"/>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List Paragraph"/>
    <w:basedOn w:val="1"/>
    <w:qFormat/>
    <w:uiPriority w:val="26"/>
    <w:pPr>
      <w:ind w:firstLine="200"/>
    </w:pPr>
    <w:rPr>
      <w:rFonts w:ascii="Times New Roman" w:hAnsi="Times New Roman" w:eastAsia="宋体" w:cs="Times New Roman"/>
      <w:sz w:val="28"/>
      <w:szCs w:val="28"/>
    </w:rPr>
  </w:style>
  <w:style w:type="character" w:customStyle="1" w:styleId="15">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6">
    <w:name w:val="font11"/>
    <w:basedOn w:val="13"/>
    <w:autoRedefine/>
    <w:qFormat/>
    <w:uiPriority w:val="0"/>
    <w:rPr>
      <w:rFonts w:hint="eastAsia" w:ascii="宋体" w:hAnsi="宋体" w:eastAsia="宋体" w:cs="宋体"/>
      <w:color w:val="000000"/>
      <w:sz w:val="24"/>
      <w:szCs w:val="24"/>
      <w:u w:val="none"/>
    </w:rPr>
  </w:style>
  <w:style w:type="character" w:customStyle="1" w:styleId="17">
    <w:name w:val="font31"/>
    <w:basedOn w:val="13"/>
    <w:autoRedefine/>
    <w:qFormat/>
    <w:uiPriority w:val="0"/>
    <w:rPr>
      <w:rFonts w:hint="eastAsia" w:ascii="宋体" w:hAnsi="宋体" w:eastAsia="宋体" w:cs="宋体"/>
      <w:color w:val="000000"/>
      <w:sz w:val="21"/>
      <w:szCs w:val="21"/>
      <w:u w:val="none"/>
    </w:rPr>
  </w:style>
  <w:style w:type="paragraph" w:customStyle="1" w:styleId="18">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19">
    <w:name w:val="font41"/>
    <w:basedOn w:val="13"/>
    <w:autoRedefine/>
    <w:qFormat/>
    <w:uiPriority w:val="0"/>
    <w:rPr>
      <w:rFonts w:ascii="Calibri" w:hAnsi="Calibri" w:cs="Calibri"/>
      <w:color w:val="000000"/>
      <w:sz w:val="28"/>
      <w:szCs w:val="28"/>
      <w:u w:val="none"/>
    </w:rPr>
  </w:style>
  <w:style w:type="character" w:customStyle="1" w:styleId="20">
    <w:name w:val="font21"/>
    <w:basedOn w:val="13"/>
    <w:autoRedefine/>
    <w:qFormat/>
    <w:uiPriority w:val="0"/>
    <w:rPr>
      <w:rFonts w:hint="eastAsia" w:ascii="宋体" w:hAnsi="宋体" w:eastAsia="宋体" w:cs="宋体"/>
      <w:color w:val="000000"/>
      <w:sz w:val="21"/>
      <w:szCs w:val="21"/>
      <w:u w:val="none"/>
    </w:rPr>
  </w:style>
  <w:style w:type="table" w:customStyle="1" w:styleId="21">
    <w:name w:val="网格型1"/>
    <w:basedOn w:val="22"/>
    <w:qFormat/>
    <w:uiPriority w:val="0"/>
    <w:pPr>
      <w:widowControl w:val="0"/>
      <w:jc w:val="both"/>
    </w:pPr>
  </w:style>
  <w:style w:type="table" w:customStyle="1" w:styleId="22">
    <w:name w:val="普通表格1"/>
    <w:semiHidden/>
    <w:qFormat/>
    <w:uiPriority w:val="0"/>
  </w:style>
  <w:style w:type="paragraph" w:customStyle="1" w:styleId="23">
    <w:name w:val="正文 A"/>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24">
    <w:name w:val="段"/>
    <w:qFormat/>
    <w:uiPriority w:val="0"/>
    <w:pPr>
      <w:autoSpaceDE w:val="0"/>
      <w:autoSpaceDN w:val="0"/>
      <w:ind w:firstLine="420" w:firstLineChars="200"/>
      <w:jc w:val="both"/>
    </w:pPr>
    <w:rPr>
      <w:rFonts w:ascii="宋体" w:hAnsi="Calibri" w:eastAsia="宋体" w:cs="Times New Roman"/>
      <w:sz w:val="21"/>
      <w:szCs w:val="22"/>
      <w:lang w:val="en-US" w:eastAsia="zh-CN" w:bidi="ar-SA"/>
    </w:rPr>
  </w:style>
  <w:style w:type="paragraph" w:customStyle="1" w:styleId="25">
    <w:name w:val="列出段落1"/>
    <w:basedOn w:val="1"/>
    <w:qFormat/>
    <w:uiPriority w:val="34"/>
    <w:pPr>
      <w:ind w:firstLine="420" w:firstLineChars="200"/>
    </w:pPr>
    <w:rPr>
      <w:rFonts w:ascii="Times New Roman" w:hAnsi="Times New Roman" w:eastAsia="宋体" w:cs="Times New Roman"/>
      <w:sz w:val="28"/>
      <w:szCs w:val="21"/>
    </w:rPr>
  </w:style>
  <w:style w:type="character" w:customStyle="1" w:styleId="26">
    <w:name w:val="font51"/>
    <w:basedOn w:val="13"/>
    <w:qFormat/>
    <w:uiPriority w:val="0"/>
    <w:rPr>
      <w:rFonts w:ascii="微软雅黑" w:hAnsi="微软雅黑" w:eastAsia="微软雅黑" w:cs="微软雅黑"/>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37</Pages>
  <Words>3622</Words>
  <Characters>3858</Characters>
  <Lines>0</Lines>
  <Paragraphs>0</Paragraphs>
  <TotalTime>4</TotalTime>
  <ScaleCrop>false</ScaleCrop>
  <LinksUpToDate>false</LinksUpToDate>
  <CharactersWithSpaces>3927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转瞬为风</cp:lastModifiedBy>
  <dcterms:modified xsi:type="dcterms:W3CDTF">2026-07-04T23:06:21Z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81186434BCDE489D9C12A60131280379_13</vt:lpwstr>
  </property>
  <property fmtid="{D5CDD505-2E9C-101B-9397-08002B2CF9AE}" pid="4" name="commondata">
    <vt:lpwstr>eyJoZGlkIjoiM2I5YmQyM2VlMzIyNzg3MTM0MjMzMjczYWU0N2U3MTcifQ==</vt:lpwstr>
  </property>
  <property fmtid="{D5CDD505-2E9C-101B-9397-08002B2CF9AE}" pid="5" name="KSOTemplateDocerSaveRecord">
    <vt:lpwstr>eyJoZGlkIjoiYjE0ZjljODNiZjc1NzllNmYwOTg1MTkxY2U3NzIxMDkiLCJ1c2VySWQiOiIxOTIzMDg1MzkifQ==</vt:lpwstr>
  </property>
</Properties>
</file>