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1C8A0A1">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定量血流分数检测仪项目（三次）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2026年7月14日</w:t>
      </w:r>
      <w:bookmarkStart w:id="1" w:name="_GoBack"/>
      <w:bookmarkEnd w:id="1"/>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83" w:type="dxa"/>
            <w:vAlign w:val="center"/>
          </w:tcPr>
          <w:p w14:paraId="4C60CD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50" w:type="dxa"/>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76F1662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定量血流分数检测仪</w:t>
            </w:r>
          </w:p>
        </w:tc>
        <w:tc>
          <w:tcPr>
            <w:tcW w:w="1200" w:type="dxa"/>
            <w:vAlign w:val="center"/>
          </w:tcPr>
          <w:p w14:paraId="569A9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079" w:type="dxa"/>
            <w:vAlign w:val="center"/>
          </w:tcPr>
          <w:p w14:paraId="535899A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683" w:type="dxa"/>
            <w:vAlign w:val="center"/>
          </w:tcPr>
          <w:p w14:paraId="70A9229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390000</w:t>
            </w:r>
          </w:p>
        </w:tc>
        <w:tc>
          <w:tcPr>
            <w:tcW w:w="1650" w:type="dxa"/>
            <w:vAlign w:val="center"/>
          </w:tcPr>
          <w:p w14:paraId="1D45D75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B1B03D5">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134112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1CE8AE6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4"/>
            <w:vAlign w:val="center"/>
          </w:tcPr>
          <w:p w14:paraId="7217420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612" w:type="dxa"/>
            <w:gridSpan w:val="4"/>
            <w:vAlign w:val="center"/>
          </w:tcPr>
          <w:p w14:paraId="56B9AF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0658054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设备验收通过后支付总货款的90%，验收通过使用1个月后支付总货款的10%。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2FD57B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4"/>
            <w:vAlign w:val="center"/>
          </w:tcPr>
          <w:p w14:paraId="4B29C0F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C4E4949">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本项目包含2台定量血流分数检测仪，用于冠脉介入治疗术前规划、术中引导以及术后评估等。</w:t>
      </w:r>
    </w:p>
    <w:p w14:paraId="4A6106D6">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2"/>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25"/>
        <w:gridCol w:w="7161"/>
      </w:tblGrid>
      <w:tr w14:paraId="05DC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C5B5CEA">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参数</w:t>
            </w:r>
          </w:p>
          <w:p w14:paraId="3F81390D">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性质</w:t>
            </w:r>
          </w:p>
        </w:tc>
        <w:tc>
          <w:tcPr>
            <w:tcW w:w="825" w:type="dxa"/>
            <w:vAlign w:val="center"/>
          </w:tcPr>
          <w:p w14:paraId="7AF5B78A">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编号</w:t>
            </w:r>
          </w:p>
        </w:tc>
        <w:tc>
          <w:tcPr>
            <w:tcW w:w="7161" w:type="dxa"/>
            <w:vAlign w:val="center"/>
          </w:tcPr>
          <w:p w14:paraId="5B9A3CE4">
            <w:pPr>
              <w:spacing w:line="24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技术参数和要求</w:t>
            </w:r>
          </w:p>
        </w:tc>
      </w:tr>
      <w:tr w14:paraId="472F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40DD4BC1">
            <w:pPr>
              <w:spacing w:line="240" w:lineRule="auto"/>
              <w:jc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w:t>
            </w:r>
          </w:p>
        </w:tc>
        <w:tc>
          <w:tcPr>
            <w:tcW w:w="825" w:type="dxa"/>
            <w:vAlign w:val="center"/>
          </w:tcPr>
          <w:p w14:paraId="3597CA1B">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w:t>
            </w:r>
          </w:p>
        </w:tc>
        <w:tc>
          <w:tcPr>
            <w:tcW w:w="7161" w:type="dxa"/>
            <w:vAlign w:val="center"/>
          </w:tcPr>
          <w:p w14:paraId="495C2942">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系统具备基于冠脉造影的压降计算功能，并将其数值显示在参数显示区。操作者可以看到血管沿中心线的直径变化及狭窄率分布情况。在渲染窗口，操作者可以通过鼠标点击血管模型查看任意位置处的压降参数数值；</w:t>
            </w:r>
          </w:p>
        </w:tc>
      </w:tr>
      <w:tr w14:paraId="6C8F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3B231A75">
            <w:pPr>
              <w:spacing w:line="240" w:lineRule="auto"/>
              <w:jc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w:t>
            </w:r>
          </w:p>
        </w:tc>
        <w:tc>
          <w:tcPr>
            <w:tcW w:w="825" w:type="dxa"/>
            <w:vAlign w:val="center"/>
          </w:tcPr>
          <w:p w14:paraId="79BAA6B5">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2</w:t>
            </w:r>
          </w:p>
        </w:tc>
        <w:tc>
          <w:tcPr>
            <w:tcW w:w="7161" w:type="dxa"/>
            <w:vAlign w:val="center"/>
          </w:tcPr>
          <w:p w14:paraId="6766EE25">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使用过程中无需使用任何耗材即可得到靶血管的血流储备分数；</w:t>
            </w:r>
          </w:p>
        </w:tc>
      </w:tr>
      <w:tr w14:paraId="2862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43518643">
            <w:pPr>
              <w:spacing w:line="240" w:lineRule="auto"/>
              <w:jc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w:t>
            </w:r>
          </w:p>
        </w:tc>
        <w:tc>
          <w:tcPr>
            <w:tcW w:w="825" w:type="dxa"/>
            <w:vAlign w:val="center"/>
          </w:tcPr>
          <w:p w14:paraId="323F47B8">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3</w:t>
            </w:r>
          </w:p>
        </w:tc>
        <w:tc>
          <w:tcPr>
            <w:tcW w:w="7161" w:type="dxa"/>
            <w:vAlign w:val="center"/>
          </w:tcPr>
          <w:p w14:paraId="2900CD62">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使用过程中无需使用任何耗材即可计算微循环阻力指数；</w:t>
            </w:r>
          </w:p>
        </w:tc>
      </w:tr>
      <w:tr w14:paraId="34A5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5D3A12D6">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4DB887FC">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4</w:t>
            </w:r>
          </w:p>
        </w:tc>
        <w:tc>
          <w:tcPr>
            <w:tcW w:w="7161" w:type="dxa"/>
            <w:vAlign w:val="center"/>
          </w:tcPr>
          <w:p w14:paraId="7998FD1C">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微循环阻力指数应可用于30-90%的无心肌病或阻塞性心外膜冠状动脉疾病的原发性冠状动脉微血管功能障碍患者，需提供相关文件资料证明；</w:t>
            </w:r>
          </w:p>
        </w:tc>
      </w:tr>
      <w:tr w14:paraId="5E01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7CA61B31">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B060C4F">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5</w:t>
            </w:r>
          </w:p>
        </w:tc>
        <w:tc>
          <w:tcPr>
            <w:tcW w:w="7161" w:type="dxa"/>
            <w:vAlign w:val="center"/>
          </w:tcPr>
          <w:p w14:paraId="1FC4C867">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支持冠脉造影影像进行目标血管的三维重建，且进行目标血管三维重建的两幅造影的体位差不小于25°；</w:t>
            </w:r>
          </w:p>
        </w:tc>
      </w:tr>
      <w:tr w14:paraId="0BB2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28ACCB77">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31392D13">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6</w:t>
            </w:r>
          </w:p>
        </w:tc>
        <w:tc>
          <w:tcPr>
            <w:tcW w:w="7161" w:type="dxa"/>
            <w:vAlign w:val="center"/>
          </w:tcPr>
          <w:p w14:paraId="1A028346">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 xml:space="preserve">具备至少3个匹配点进行血管重构偏差校正功能； </w:t>
            </w:r>
          </w:p>
        </w:tc>
      </w:tr>
      <w:tr w14:paraId="3812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7CE7AF36">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324C3FA6">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7</w:t>
            </w:r>
          </w:p>
        </w:tc>
        <w:tc>
          <w:tcPr>
            <w:tcW w:w="7161" w:type="dxa"/>
            <w:vAlign w:val="center"/>
          </w:tcPr>
          <w:p w14:paraId="7086AB3B">
            <w:pPr>
              <w:keepNext w:val="0"/>
              <w:keepLines w:val="0"/>
              <w:widowControl/>
              <w:suppressLineNumbers w:val="0"/>
              <w:spacing w:line="240" w:lineRule="auto"/>
              <w:jc w:val="left"/>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具备真实血管和参考血管的匹配功能，在重构的真实血管模型上，参考血管模型以半透明的方式进行匹配显示，便于进行对比参照；</w:t>
            </w:r>
          </w:p>
        </w:tc>
      </w:tr>
      <w:tr w14:paraId="7BFA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1B4DD6F3">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60429DED">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8</w:t>
            </w:r>
          </w:p>
        </w:tc>
        <w:tc>
          <w:tcPr>
            <w:tcW w:w="7161" w:type="dxa"/>
            <w:vAlign w:val="center"/>
          </w:tcPr>
          <w:p w14:paraId="3D87690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具备三维血管狭窄云图的功能，直径狭窄百分比通过云图以颜色的方式呈现在血管上，便于直观显示血管狭窄程度； </w:t>
            </w:r>
          </w:p>
        </w:tc>
      </w:tr>
      <w:tr w14:paraId="514C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7ADEE2F0">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14AC1D3">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9</w:t>
            </w:r>
          </w:p>
        </w:tc>
        <w:tc>
          <w:tcPr>
            <w:tcW w:w="7161" w:type="dxa"/>
            <w:vAlign w:val="center"/>
          </w:tcPr>
          <w:p w14:paraId="50404E0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具备定量QCA参数计算功能，自动测量血管长度、血管狭窄长度、直径狭窄百分比、面积狭窄百分比、最小管腔直径、近端和远端的管腔直径和参考直径等参数；</w:t>
            </w:r>
          </w:p>
        </w:tc>
      </w:tr>
      <w:tr w14:paraId="0987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578AC0D">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2C5DE0A2">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10</w:t>
            </w:r>
          </w:p>
        </w:tc>
        <w:tc>
          <w:tcPr>
            <w:tcW w:w="7161" w:type="dxa"/>
            <w:vAlign w:val="center"/>
          </w:tcPr>
          <w:p w14:paraId="09EC153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具备对QCA参数进行可视化分析功能，在图表窗口，可以查看实际直径-参照血管直径图表及狭窄百分比曲线图表；</w:t>
            </w:r>
          </w:p>
        </w:tc>
      </w:tr>
      <w:tr w14:paraId="55DE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057C9A4D">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74C295DA">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11</w:t>
            </w:r>
          </w:p>
        </w:tc>
        <w:tc>
          <w:tcPr>
            <w:tcW w:w="7161" w:type="dxa"/>
            <w:vAlign w:val="center"/>
          </w:tcPr>
          <w:p w14:paraId="40E15E9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具备患者特异性冠脉口压强输入功能，用户可以输入监测到的病人冠脉口压强值，便于更加准确地进行功能学评估； </w:t>
            </w:r>
          </w:p>
        </w:tc>
      </w:tr>
      <w:tr w14:paraId="4B0B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2789318B">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07EDA178">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12</w:t>
            </w:r>
          </w:p>
        </w:tc>
        <w:tc>
          <w:tcPr>
            <w:tcW w:w="7161" w:type="dxa"/>
            <w:vAlign w:val="center"/>
          </w:tcPr>
          <w:p w14:paraId="523C58A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对血管影像数据三维重建后血管长度的精度能达到≤±0.5mm，狭窄长度的精度能达到≤±0.5mm；直径狭窄率精度能达到≤±4%；面积狭窄率精度能达到≤±4%；最小管腔直径精度能达到≤±0.2mm；参考管腔直径精度能达到≤±0.2mm；</w:t>
            </w:r>
          </w:p>
        </w:tc>
      </w:tr>
      <w:tr w14:paraId="3C7D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F892FD5">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D55BAAC">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13</w:t>
            </w:r>
          </w:p>
        </w:tc>
        <w:tc>
          <w:tcPr>
            <w:tcW w:w="7161" w:type="dxa"/>
            <w:vAlign w:val="center"/>
          </w:tcPr>
          <w:p w14:paraId="3DC6BC4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以基于压力导丝的FFR为参考，冠脉狭窄的准确度大于95%，灵敏度大于95%；特异度大于94%，需提供相关文件资料证明； </w:t>
            </w:r>
          </w:p>
        </w:tc>
      </w:tr>
      <w:tr w14:paraId="273C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1DF82902">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3CDE3BA1">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14</w:t>
            </w:r>
          </w:p>
        </w:tc>
        <w:tc>
          <w:tcPr>
            <w:tcW w:w="7161" w:type="dxa"/>
            <w:vAlign w:val="center"/>
          </w:tcPr>
          <w:p w14:paraId="4A89524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以基于导丝测量的IMR为参考，微循环阻力指数的准确度大于94%，灵敏度大于92%；特异度大于95%，需提供相关文件资料证明；</w:t>
            </w:r>
          </w:p>
        </w:tc>
      </w:tr>
      <w:tr w14:paraId="255F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62864B9A">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72D1B29">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15</w:t>
            </w:r>
          </w:p>
        </w:tc>
        <w:tc>
          <w:tcPr>
            <w:tcW w:w="7161" w:type="dxa"/>
            <w:vAlign w:val="center"/>
          </w:tcPr>
          <w:p w14:paraId="44BDC9F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系统支持在每个分支血管上植入2个虚拟支架，能灵活放置、删除虚拟支架；</w:t>
            </w:r>
          </w:p>
        </w:tc>
      </w:tr>
      <w:tr w14:paraId="7278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2A21EE35">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1FC76479">
            <w:pPr>
              <w:keepNext w:val="0"/>
              <w:keepLines w:val="0"/>
              <w:widowControl/>
              <w:suppressLineNumbers w:val="0"/>
              <w:spacing w:line="240" w:lineRule="auto"/>
              <w:jc w:val="center"/>
              <w:textAlignment w:val="center"/>
              <w:rPr>
                <w:rFonts w:hint="eastAsia" w:ascii="宋体" w:hAnsi="宋体" w:eastAsia="宋体" w:cs="宋体"/>
                <w:b/>
                <w:sz w:val="21"/>
                <w:szCs w:val="21"/>
                <w:vertAlign w:val="baseline"/>
                <w:lang w:eastAsia="zh-Hans"/>
              </w:rPr>
            </w:pPr>
            <w:r>
              <w:rPr>
                <w:rFonts w:hint="eastAsia" w:ascii="宋体" w:hAnsi="宋体" w:eastAsia="宋体" w:cs="宋体"/>
                <w:i w:val="0"/>
                <w:iCs w:val="0"/>
                <w:color w:val="000000"/>
                <w:kern w:val="0"/>
                <w:sz w:val="21"/>
                <w:szCs w:val="21"/>
                <w:u w:val="none"/>
                <w:lang w:val="en-US" w:eastAsia="zh-CN" w:bidi="ar"/>
              </w:rPr>
              <w:t>16</w:t>
            </w:r>
          </w:p>
        </w:tc>
        <w:tc>
          <w:tcPr>
            <w:tcW w:w="7161" w:type="dxa"/>
            <w:vAlign w:val="center"/>
          </w:tcPr>
          <w:p w14:paraId="360A80F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系统支持同时在二维造影影像、三维血管模型以及狭窄血管图表中显示支架；</w:t>
            </w:r>
          </w:p>
        </w:tc>
      </w:tr>
      <w:tr w14:paraId="71F0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589E141F">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07F40270">
            <w:pPr>
              <w:keepNext w:val="0"/>
              <w:keepLines w:val="0"/>
              <w:widowControl/>
              <w:suppressLineNumbers w:val="0"/>
              <w:spacing w:line="240" w:lineRule="auto"/>
              <w:jc w:val="center"/>
              <w:textAlignment w:val="center"/>
              <w:rPr>
                <w:rFonts w:hint="default" w:ascii="宋体" w:hAnsi="宋体" w:eastAsia="宋体" w:cs="宋体"/>
                <w:b/>
                <w:sz w:val="21"/>
                <w:szCs w:val="21"/>
                <w:vertAlign w:val="baseline"/>
                <w:lang w:val="en-US" w:eastAsia="zh-Hans"/>
              </w:rPr>
            </w:pPr>
            <w:r>
              <w:rPr>
                <w:rFonts w:hint="eastAsia" w:ascii="宋体" w:hAnsi="宋体" w:eastAsia="宋体" w:cs="宋体"/>
                <w:i w:val="0"/>
                <w:iCs w:val="0"/>
                <w:color w:val="000000"/>
                <w:kern w:val="0"/>
                <w:sz w:val="21"/>
                <w:szCs w:val="21"/>
                <w:u w:val="none"/>
                <w:lang w:val="en-US" w:eastAsia="zh-CN" w:bidi="ar"/>
              </w:rPr>
              <w:t>17</w:t>
            </w:r>
          </w:p>
        </w:tc>
        <w:tc>
          <w:tcPr>
            <w:tcW w:w="7161" w:type="dxa"/>
            <w:vAlign w:val="center"/>
          </w:tcPr>
          <w:p w14:paraId="3A87EA0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系统支持灵活调节虚拟支架长度以及落脚点，实时显示残余血流储备分数随支架调节的更新结果；</w:t>
            </w:r>
          </w:p>
        </w:tc>
      </w:tr>
      <w:tr w14:paraId="44A5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14:paraId="1A69085C">
            <w:pPr>
              <w:spacing w:line="240" w:lineRule="auto"/>
              <w:jc w:val="center"/>
              <w:rPr>
                <w:rFonts w:hint="eastAsia" w:ascii="宋体" w:hAnsi="宋体" w:eastAsia="宋体" w:cs="宋体"/>
                <w:b/>
                <w:sz w:val="21"/>
                <w:szCs w:val="21"/>
                <w:vertAlign w:val="baseline"/>
                <w:lang w:eastAsia="zh-Hans"/>
              </w:rPr>
            </w:pPr>
          </w:p>
        </w:tc>
        <w:tc>
          <w:tcPr>
            <w:tcW w:w="825" w:type="dxa"/>
            <w:vAlign w:val="center"/>
          </w:tcPr>
          <w:p w14:paraId="790041D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7161" w:type="dxa"/>
            <w:vAlign w:val="center"/>
          </w:tcPr>
          <w:p w14:paraId="1C2E427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具备心脏左心室分析的功能，自动计算输出功能参数，包括舒张末期容积EDV、收缩末期容积ESV、射血分数EF、每搏输出量SV；</w:t>
            </w:r>
          </w:p>
        </w:tc>
      </w:tr>
      <w:tr w14:paraId="135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335A1F8E">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7AAF177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161" w:type="dxa"/>
            <w:shd w:val="clear" w:color="auto" w:fill="auto"/>
            <w:vAlign w:val="center"/>
          </w:tcPr>
          <w:p w14:paraId="0B342411">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4C2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63DBF01A">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7EB8057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161" w:type="dxa"/>
            <w:shd w:val="clear" w:color="auto" w:fill="auto"/>
            <w:vAlign w:val="center"/>
          </w:tcPr>
          <w:p w14:paraId="475A941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223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6804D617">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36A8399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161" w:type="dxa"/>
            <w:shd w:val="clear" w:color="auto" w:fill="auto"/>
            <w:vAlign w:val="center"/>
          </w:tcPr>
          <w:p w14:paraId="2E08F35A">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CA9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0D7A2636">
            <w:pPr>
              <w:widowControl/>
              <w:spacing w:line="240" w:lineRule="auto"/>
              <w:jc w:val="center"/>
              <w:rPr>
                <w:rFonts w:hint="eastAsia" w:ascii="宋体" w:hAnsi="宋体" w:eastAsia="宋体" w:cs="宋体"/>
                <w:kern w:val="0"/>
                <w:sz w:val="21"/>
                <w:szCs w:val="21"/>
                <w:lang w:val="en-US" w:eastAsia="zh-Hans" w:bidi="ar-SA"/>
              </w:rPr>
            </w:pPr>
            <w:r>
              <w:rPr>
                <w:rFonts w:hint="eastAsia" w:ascii="宋体" w:hAnsi="宋体" w:eastAsia="宋体" w:cs="宋体"/>
                <w:kern w:val="0"/>
                <w:sz w:val="21"/>
                <w:szCs w:val="21"/>
              </w:rPr>
              <w:t>★</w:t>
            </w:r>
          </w:p>
        </w:tc>
        <w:tc>
          <w:tcPr>
            <w:tcW w:w="825" w:type="dxa"/>
            <w:shd w:val="clear" w:color="auto" w:fill="auto"/>
            <w:vAlign w:val="center"/>
          </w:tcPr>
          <w:p w14:paraId="725BE04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161" w:type="dxa"/>
            <w:shd w:val="clear" w:color="auto" w:fill="auto"/>
            <w:vAlign w:val="center"/>
          </w:tcPr>
          <w:p w14:paraId="373B1BE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176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shd w:val="clear" w:color="auto" w:fill="auto"/>
            <w:vAlign w:val="center"/>
          </w:tcPr>
          <w:p w14:paraId="62E56BC1">
            <w:pPr>
              <w:widowControl/>
              <w:spacing w:line="240" w:lineRule="auto"/>
              <w:jc w:val="center"/>
              <w:rPr>
                <w:rFonts w:hint="eastAsia" w:ascii="宋体" w:hAnsi="宋体" w:eastAsia="宋体" w:cs="宋体"/>
                <w:kern w:val="0"/>
                <w:sz w:val="21"/>
                <w:szCs w:val="21"/>
                <w:lang w:val="en-US" w:eastAsia="zh-Hans" w:bidi="lo-LA"/>
              </w:rPr>
            </w:pPr>
          </w:p>
        </w:tc>
        <w:tc>
          <w:tcPr>
            <w:tcW w:w="825" w:type="dxa"/>
            <w:shd w:val="clear" w:color="auto" w:fill="auto"/>
            <w:vAlign w:val="center"/>
          </w:tcPr>
          <w:p w14:paraId="60CB7AD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161" w:type="dxa"/>
            <w:shd w:val="clear" w:color="auto" w:fill="auto"/>
            <w:vAlign w:val="center"/>
          </w:tcPr>
          <w:p w14:paraId="0CA0717B">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bl>
    <w:p w14:paraId="0DDCC55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2F8471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67F6F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2889C8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表2 综合评分表</w:t>
      </w:r>
    </w:p>
    <w:tbl>
      <w:tblPr>
        <w:tblStyle w:val="11"/>
        <w:tblpPr w:vertAnchor="text" w:tblpXSpec="center" w:tblpY="1"/>
        <w:tblW w:w="8570" w:type="dxa"/>
        <w:tblInd w:w="108" w:type="dxa"/>
        <w:tblLayout w:type="fixed"/>
        <w:tblCellMar>
          <w:top w:w="0" w:type="dxa"/>
          <w:left w:w="0" w:type="dxa"/>
          <w:bottom w:w="0" w:type="dxa"/>
          <w:right w:w="0" w:type="dxa"/>
        </w:tblCellMar>
      </w:tblPr>
      <w:tblGrid>
        <w:gridCol w:w="528"/>
        <w:gridCol w:w="1701"/>
        <w:gridCol w:w="6341"/>
      </w:tblGrid>
      <w:tr w14:paraId="7205CB6F">
        <w:tblPrEx>
          <w:tblCellMar>
            <w:top w:w="0" w:type="dxa"/>
            <w:left w:w="0" w:type="dxa"/>
            <w:bottom w:w="0" w:type="dxa"/>
            <w:right w:w="0" w:type="dxa"/>
          </w:tblCellMar>
        </w:tblPrEx>
        <w:trPr>
          <w:trHeight w:val="976" w:hRule="atLeast"/>
        </w:trPr>
        <w:tc>
          <w:tcPr>
            <w:tcW w:w="222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0EC6DA">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评审因素</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0BC1A">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评分标准</w:t>
            </w:r>
          </w:p>
        </w:tc>
      </w:tr>
      <w:tr w14:paraId="38D705A7">
        <w:tblPrEx>
          <w:tblCellMar>
            <w:top w:w="0" w:type="dxa"/>
            <w:left w:w="0" w:type="dxa"/>
            <w:bottom w:w="0" w:type="dxa"/>
            <w:right w:w="0" w:type="dxa"/>
          </w:tblCellMar>
        </w:tblPrEx>
        <w:trPr>
          <w:trHeight w:val="1415" w:hRule="atLeast"/>
        </w:trPr>
        <w:tc>
          <w:tcPr>
            <w:tcW w:w="2229"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5883B2">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分值构成</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CD8AC">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 xml:space="preserve">1、报价得分  </w:t>
            </w:r>
            <w:r>
              <w:rPr>
                <w:rFonts w:hint="eastAsia" w:ascii="宋体" w:hAnsi="宋体" w:eastAsia="宋体"/>
                <w:b w:val="0"/>
                <w:w w:val="100"/>
                <w:sz w:val="21"/>
                <w:lang w:val="en-US" w:eastAsia="zh-CN"/>
              </w:rPr>
              <w:t>6</w:t>
            </w:r>
            <w:r>
              <w:rPr>
                <w:rFonts w:hint="eastAsia" w:ascii="宋体" w:hAnsi="宋体" w:eastAsia="宋体"/>
                <w:b w:val="0"/>
                <w:w w:val="100"/>
                <w:sz w:val="21"/>
                <w:lang w:eastAsia="zh-CN"/>
              </w:rPr>
              <w:t>0</w:t>
            </w:r>
            <w:r>
              <w:rPr>
                <w:rFonts w:ascii="宋体" w:hAnsi="宋体" w:eastAsia="宋体"/>
                <w:b w:val="0"/>
                <w:w w:val="100"/>
                <w:sz w:val="21"/>
              </w:rPr>
              <w:t>分；</w:t>
            </w:r>
          </w:p>
          <w:p w14:paraId="3CD5DD68">
            <w:pPr>
              <w:widowControl/>
              <w:autoSpaceDE/>
              <w:autoSpaceDN/>
              <w:snapToGrid/>
              <w:spacing w:before="0" w:after="0" w:line="240" w:lineRule="auto"/>
              <w:ind w:left="0" w:firstLine="0"/>
              <w:jc w:val="left"/>
              <w:rPr>
                <w:rFonts w:ascii="宋体" w:hAnsi="Calibri" w:eastAsia="宋体"/>
                <w:b w:val="0"/>
                <w:w w:val="100"/>
                <w:sz w:val="21"/>
              </w:rPr>
            </w:pPr>
            <w:r>
              <w:rPr>
                <w:rFonts w:hint="eastAsia" w:ascii="宋体" w:hAnsi="宋体" w:eastAsia="宋体"/>
                <w:b w:val="0"/>
                <w:w w:val="100"/>
                <w:sz w:val="21"/>
                <w:lang w:val="en-US" w:eastAsia="zh-CN"/>
              </w:rPr>
              <w:t>2</w:t>
            </w:r>
            <w:r>
              <w:rPr>
                <w:rFonts w:ascii="宋体" w:hAnsi="宋体" w:eastAsia="宋体"/>
                <w:b w:val="0"/>
                <w:w w:val="100"/>
                <w:sz w:val="21"/>
              </w:rPr>
              <w:t>、技术部分 </w:t>
            </w:r>
            <w:r>
              <w:rPr>
                <w:rFonts w:hint="eastAsia" w:ascii="宋体" w:hAnsi="宋体" w:eastAsia="宋体"/>
                <w:b w:val="0"/>
                <w:w w:val="100"/>
                <w:sz w:val="21"/>
                <w:lang w:val="en-US" w:eastAsia="zh-CN"/>
              </w:rPr>
              <w:t>40</w:t>
            </w:r>
            <w:r>
              <w:rPr>
                <w:rFonts w:ascii="宋体" w:hAnsi="宋体" w:eastAsia="宋体"/>
                <w:b w:val="0"/>
                <w:w w:val="100"/>
                <w:sz w:val="21"/>
              </w:rPr>
              <w:t>分。</w:t>
            </w:r>
          </w:p>
        </w:tc>
      </w:tr>
      <w:tr w14:paraId="013DB7C3">
        <w:tblPrEx>
          <w:tblCellMar>
            <w:top w:w="0" w:type="dxa"/>
            <w:left w:w="0" w:type="dxa"/>
            <w:bottom w:w="0" w:type="dxa"/>
            <w:right w:w="0" w:type="dxa"/>
          </w:tblCellMar>
        </w:tblPrEx>
        <w:trPr>
          <w:trHeight w:val="1404" w:hRule="atLeast"/>
        </w:trPr>
        <w:tc>
          <w:tcPr>
            <w:tcW w:w="528" w:type="dxa"/>
            <w:vMerge w:val="restart"/>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A03CB">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投标报价</w:t>
            </w:r>
          </w:p>
        </w:tc>
        <w:tc>
          <w:tcPr>
            <w:tcW w:w="170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686EC5">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评标基准价确定方法</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2C3869">
            <w:pPr>
              <w:widowControl/>
              <w:autoSpaceDE/>
              <w:autoSpaceDN/>
              <w:snapToGrid/>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满足招标文件要求通过初步评审的且投标报价最低的为评标基准价。</w:t>
            </w:r>
          </w:p>
        </w:tc>
      </w:tr>
      <w:tr w14:paraId="239BE73C">
        <w:tblPrEx>
          <w:tblCellMar>
            <w:top w:w="0" w:type="dxa"/>
            <w:left w:w="0" w:type="dxa"/>
            <w:bottom w:w="0" w:type="dxa"/>
            <w:right w:w="0" w:type="dxa"/>
          </w:tblCellMar>
        </w:tblPrEx>
        <w:trPr>
          <w:trHeight w:val="1407" w:hRule="atLeast"/>
        </w:trPr>
        <w:tc>
          <w:tcPr>
            <w:tcW w:w="528" w:type="dxa"/>
            <w:vMerge w:val="continue"/>
            <w:tcBorders>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513935">
            <w:pPr>
              <w:widowControl/>
              <w:autoSpaceDE/>
              <w:autoSpaceDN/>
              <w:snapToGrid/>
              <w:spacing w:before="0" w:after="0" w:line="240" w:lineRule="auto"/>
              <w:ind w:left="0" w:firstLine="0"/>
              <w:jc w:val="left"/>
              <w:rPr>
                <w:rFonts w:ascii="宋体" w:hAnsi="Calibri" w:eastAsia="宋体"/>
                <w:b w:val="0"/>
                <w:w w:val="100"/>
                <w:sz w:val="21"/>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D5A3E9">
            <w:pPr>
              <w:widowControl/>
              <w:autoSpaceDE/>
              <w:autoSpaceDN/>
              <w:snapToGrid w:val="0"/>
              <w:spacing w:before="0" w:after="0" w:line="240" w:lineRule="auto"/>
              <w:ind w:left="0" w:firstLine="0"/>
              <w:jc w:val="center"/>
              <w:rPr>
                <w:rFonts w:ascii="宋体" w:hAnsi="Calibri" w:eastAsia="宋体"/>
                <w:b w:val="0"/>
                <w:w w:val="100"/>
                <w:sz w:val="21"/>
              </w:rPr>
            </w:pPr>
            <w:r>
              <w:rPr>
                <w:rFonts w:ascii="宋体" w:hAnsi="宋体" w:eastAsia="宋体"/>
                <w:b w:val="0"/>
                <w:w w:val="100"/>
                <w:sz w:val="21"/>
              </w:rPr>
              <w:t>投标报价得分（</w:t>
            </w:r>
            <w:r>
              <w:rPr>
                <w:rFonts w:hint="eastAsia" w:ascii="宋体" w:hAnsi="宋体" w:eastAsia="宋体"/>
                <w:b w:val="0"/>
                <w:w w:val="100"/>
                <w:sz w:val="21"/>
                <w:lang w:val="en-US" w:eastAsia="zh-CN"/>
              </w:rPr>
              <w:t>6</w:t>
            </w:r>
            <w:r>
              <w:rPr>
                <w:rFonts w:hint="eastAsia" w:ascii="宋体" w:hAnsi="宋体" w:eastAsia="宋体"/>
                <w:b w:val="0"/>
                <w:w w:val="100"/>
                <w:sz w:val="21"/>
                <w:lang w:eastAsia="zh-CN"/>
              </w:rPr>
              <w:t>0</w:t>
            </w:r>
            <w:r>
              <w:rPr>
                <w:rFonts w:ascii="宋体" w:hAnsi="宋体" w:eastAsia="宋体"/>
                <w:b w:val="0"/>
                <w:w w:val="100"/>
                <w:sz w:val="21"/>
              </w:rPr>
              <w:t>分）</w:t>
            </w:r>
          </w:p>
        </w:tc>
        <w:tc>
          <w:tcPr>
            <w:tcW w:w="6341" w:type="dxa"/>
            <w:tcBorders>
              <w:top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8180E0">
            <w:pPr>
              <w:widowControl/>
              <w:autoSpaceDE/>
              <w:autoSpaceDN/>
              <w:snapToGrid w:val="0"/>
              <w:spacing w:before="0" w:after="0" w:line="240" w:lineRule="auto"/>
              <w:ind w:left="0" w:firstLine="0"/>
              <w:jc w:val="left"/>
              <w:rPr>
                <w:rFonts w:ascii="宋体" w:hAnsi="Calibri" w:eastAsia="宋体"/>
                <w:b w:val="0"/>
                <w:w w:val="100"/>
                <w:sz w:val="21"/>
              </w:rPr>
            </w:pPr>
            <w:r>
              <w:rPr>
                <w:rFonts w:ascii="宋体" w:hAnsi="宋体" w:eastAsia="宋体"/>
                <w:b w:val="0"/>
                <w:w w:val="100"/>
                <w:sz w:val="21"/>
              </w:rPr>
              <w:t>投标报价得分＝（评标基准价/投标报价）×</w:t>
            </w:r>
            <w:r>
              <w:rPr>
                <w:rFonts w:hint="eastAsia" w:ascii="宋体" w:hAnsi="宋体" w:eastAsia="宋体"/>
                <w:b w:val="0"/>
                <w:w w:val="100"/>
                <w:sz w:val="21"/>
                <w:lang w:val="en-US" w:eastAsia="zh-CN"/>
              </w:rPr>
              <w:t>6</w:t>
            </w:r>
            <w:r>
              <w:rPr>
                <w:rFonts w:hint="eastAsia" w:ascii="宋体" w:hAnsi="宋体" w:eastAsia="宋体"/>
                <w:b w:val="0"/>
                <w:w w:val="100"/>
                <w:sz w:val="21"/>
                <w:lang w:eastAsia="zh-CN"/>
              </w:rPr>
              <w:t>0</w:t>
            </w:r>
            <w:r>
              <w:rPr>
                <w:rFonts w:ascii="宋体" w:hAnsi="宋体" w:eastAsia="宋体"/>
                <w:b w:val="0"/>
                <w:w w:val="100"/>
                <w:sz w:val="21"/>
              </w:rPr>
              <w:t>。</w:t>
            </w:r>
          </w:p>
        </w:tc>
      </w:tr>
      <w:tr w14:paraId="34B0B13E">
        <w:tblPrEx>
          <w:tblCellMar>
            <w:top w:w="0" w:type="dxa"/>
            <w:left w:w="0" w:type="dxa"/>
            <w:bottom w:w="0" w:type="dxa"/>
            <w:right w:w="0" w:type="dxa"/>
          </w:tblCellMar>
        </w:tblPrEx>
        <w:trPr>
          <w:trHeight w:val="2063" w:hRule="atLeast"/>
        </w:trPr>
        <w:tc>
          <w:tcPr>
            <w:tcW w:w="52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43743B">
            <w:pPr>
              <w:widowControl/>
              <w:autoSpaceDE/>
              <w:autoSpaceDN/>
              <w:snapToGrid/>
              <w:spacing w:before="0" w:after="0" w:line="240" w:lineRule="auto"/>
              <w:ind w:left="0" w:firstLine="0"/>
              <w:jc w:val="left"/>
              <w:rPr>
                <w:rFonts w:ascii="宋体" w:hAnsi="宋体" w:eastAsia="宋体"/>
                <w:b w:val="0"/>
                <w:w w:val="100"/>
                <w:sz w:val="21"/>
              </w:rPr>
            </w:pPr>
            <w:r>
              <w:rPr>
                <w:rFonts w:ascii="宋体" w:hAnsi="宋体" w:eastAsia="宋体"/>
                <w:b w:val="0"/>
                <w:w w:val="100"/>
                <w:sz w:val="21"/>
              </w:rPr>
              <w:t>技术部分</w:t>
            </w: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1CC78D">
            <w:pPr>
              <w:widowControl/>
              <w:autoSpaceDE/>
              <w:autoSpaceDN/>
              <w:snapToGrid/>
              <w:spacing w:before="0" w:after="0" w:line="240" w:lineRule="auto"/>
              <w:ind w:left="0" w:firstLine="0"/>
              <w:jc w:val="center"/>
              <w:rPr>
                <w:rFonts w:ascii="宋体" w:hAnsi="宋体" w:eastAsia="宋体"/>
                <w:b w:val="0"/>
                <w:color w:val="auto"/>
                <w:w w:val="100"/>
                <w:sz w:val="21"/>
              </w:rPr>
            </w:pPr>
            <w:r>
              <w:rPr>
                <w:rFonts w:ascii="宋体" w:hAnsi="宋体" w:eastAsia="宋体"/>
                <w:b w:val="0"/>
                <w:color w:val="auto"/>
                <w:w w:val="100"/>
                <w:sz w:val="21"/>
              </w:rPr>
              <w:t>一般技术参数（</w:t>
            </w:r>
            <w:r>
              <w:rPr>
                <w:rFonts w:hint="eastAsia" w:ascii="宋体" w:hAnsi="宋体" w:eastAsia="宋体"/>
                <w:b w:val="0"/>
                <w:color w:val="auto"/>
                <w:w w:val="100"/>
                <w:sz w:val="21"/>
                <w:lang w:val="en-US" w:eastAsia="zh-CN"/>
              </w:rPr>
              <w:t>非</w:t>
            </w:r>
            <w:r>
              <w:rPr>
                <w:rFonts w:ascii="宋体" w:hAnsi="宋体" w:eastAsia="宋体"/>
                <w:b w:val="0"/>
                <w:color w:val="auto"/>
                <w:w w:val="100"/>
                <w:sz w:val="21"/>
              </w:rPr>
              <w:t>标“</w:t>
            </w:r>
            <w:r>
              <w:rPr>
                <w:rFonts w:hint="eastAsia" w:ascii="宋体" w:hAnsi="宋体" w:eastAsia="宋体" w:cs="宋体"/>
                <w:kern w:val="0"/>
                <w:sz w:val="21"/>
                <w:szCs w:val="21"/>
              </w:rPr>
              <w:t>★</w:t>
            </w:r>
            <w:r>
              <w:rPr>
                <w:rFonts w:hint="eastAsia" w:ascii="宋体" w:hAnsi="宋体" w:eastAsia="宋体"/>
                <w:b w:val="0"/>
                <w:color w:val="auto"/>
                <w:w w:val="100"/>
                <w:sz w:val="21"/>
                <w:lang w:val="en-US" w:eastAsia="zh-CN"/>
              </w:rPr>
              <w:t>”</w:t>
            </w:r>
            <w:r>
              <w:rPr>
                <w:rFonts w:ascii="宋体" w:hAnsi="宋体" w:eastAsia="宋体"/>
                <w:b w:val="0"/>
                <w:color w:val="auto"/>
                <w:w w:val="100"/>
                <w:sz w:val="21"/>
              </w:rPr>
              <w:t>项）</w:t>
            </w:r>
          </w:p>
          <w:p w14:paraId="5A93E817">
            <w:pPr>
              <w:widowControl/>
              <w:autoSpaceDE/>
              <w:autoSpaceDN/>
              <w:snapToGrid/>
              <w:spacing w:before="0" w:after="0" w:line="240" w:lineRule="auto"/>
              <w:ind w:left="0" w:leftChars="0" w:firstLine="0" w:firstLineChars="0"/>
              <w:jc w:val="center"/>
              <w:rPr>
                <w:rFonts w:ascii="宋体" w:hAnsi="宋体" w:eastAsia="宋体" w:cstheme="minorBidi"/>
                <w:b w:val="0"/>
                <w:color w:val="auto"/>
                <w:w w:val="100"/>
                <w:kern w:val="2"/>
                <w:sz w:val="21"/>
                <w:szCs w:val="22"/>
                <w:lang w:val="en-US" w:eastAsia="zh-CN" w:bidi="ar-SA"/>
              </w:rPr>
            </w:pPr>
            <w:r>
              <w:rPr>
                <w:rFonts w:ascii="宋体" w:hAnsi="宋体" w:eastAsia="宋体"/>
                <w:b w:val="0"/>
                <w:color w:val="auto"/>
                <w:w w:val="100"/>
                <w:sz w:val="21"/>
              </w:rPr>
              <w:t>（</w:t>
            </w:r>
            <w:r>
              <w:rPr>
                <w:rFonts w:hint="eastAsia" w:ascii="宋体" w:hAnsi="宋体" w:eastAsia="宋体"/>
                <w:b w:val="0"/>
                <w:color w:val="auto"/>
                <w:w w:val="100"/>
                <w:sz w:val="21"/>
                <w:lang w:val="en-US" w:eastAsia="zh-CN"/>
              </w:rPr>
              <w:t>40</w:t>
            </w:r>
            <w:r>
              <w:rPr>
                <w:rFonts w:ascii="宋体" w:hAnsi="宋体" w:eastAsia="宋体"/>
                <w:b w:val="0"/>
                <w:color w:val="auto"/>
                <w:w w:val="100"/>
                <w:sz w:val="21"/>
              </w:rPr>
              <w:t>分）</w:t>
            </w:r>
          </w:p>
        </w:tc>
        <w:tc>
          <w:tcPr>
            <w:tcW w:w="634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9DB3CF">
            <w:pPr>
              <w:widowControl/>
              <w:autoSpaceDE/>
              <w:autoSpaceDN/>
              <w:snapToGrid/>
              <w:spacing w:before="0" w:after="0" w:line="240" w:lineRule="auto"/>
              <w:ind w:left="0" w:leftChars="0" w:firstLine="0" w:firstLineChars="0"/>
              <w:jc w:val="left"/>
              <w:rPr>
                <w:rFonts w:ascii="宋体" w:hAnsi="宋体" w:eastAsia="宋体" w:cstheme="minorBidi"/>
                <w:b w:val="0"/>
                <w:w w:val="100"/>
                <w:kern w:val="2"/>
                <w:sz w:val="21"/>
                <w:szCs w:val="22"/>
                <w:lang w:val="en-US" w:eastAsia="zh-CN" w:bidi="ar-SA"/>
              </w:rPr>
            </w:pPr>
            <w:r>
              <w:rPr>
                <w:rFonts w:ascii="宋体" w:hAnsi="宋体" w:eastAsia="宋体"/>
                <w:b w:val="0"/>
                <w:w w:val="100"/>
                <w:sz w:val="21"/>
              </w:rPr>
              <w:t>所有产品一般技术参数指标（非</w:t>
            </w:r>
            <w:r>
              <w:rPr>
                <w:rFonts w:hint="eastAsia" w:ascii="宋体" w:hAnsi="宋体" w:eastAsia="宋体"/>
                <w:b w:val="0"/>
                <w:w w:val="100"/>
                <w:sz w:val="21"/>
                <w:lang w:val="en-US" w:eastAsia="zh-CN"/>
              </w:rPr>
              <w:t>标</w:t>
            </w:r>
            <w:r>
              <w:rPr>
                <w:rFonts w:ascii="宋体" w:hAnsi="宋体" w:eastAsia="宋体"/>
                <w:b w:val="0"/>
                <w:w w:val="100"/>
                <w:sz w:val="21"/>
              </w:rPr>
              <w:t>“</w:t>
            </w:r>
            <w:r>
              <w:rPr>
                <w:rFonts w:hint="eastAsia" w:ascii="宋体" w:hAnsi="宋体" w:eastAsia="宋体" w:cs="宋体"/>
                <w:kern w:val="0"/>
                <w:sz w:val="21"/>
                <w:szCs w:val="21"/>
              </w:rPr>
              <w:t>★</w:t>
            </w:r>
            <w:r>
              <w:rPr>
                <w:rFonts w:hint="eastAsia" w:ascii="宋体" w:hAnsi="宋体" w:eastAsia="宋体"/>
                <w:b w:val="0"/>
                <w:w w:val="100"/>
                <w:sz w:val="21"/>
                <w:lang w:val="en-US" w:eastAsia="zh-CN"/>
              </w:rPr>
              <w:t>”</w:t>
            </w:r>
            <w:r>
              <w:rPr>
                <w:rFonts w:ascii="宋体" w:hAnsi="宋体" w:eastAsia="宋体"/>
                <w:b w:val="0"/>
                <w:w w:val="100"/>
                <w:sz w:val="21"/>
              </w:rPr>
              <w:t>项）</w:t>
            </w:r>
            <w:r>
              <w:rPr>
                <w:rFonts w:hint="eastAsia" w:ascii="宋体" w:hAnsi="宋体" w:eastAsia="宋体"/>
                <w:b w:val="0"/>
                <w:w w:val="100"/>
                <w:sz w:val="21"/>
                <w:lang w:val="en-US" w:eastAsia="zh-CN"/>
              </w:rPr>
              <w:t>共16项，完全响应</w:t>
            </w:r>
            <w:r>
              <w:rPr>
                <w:rFonts w:ascii="宋体" w:hAnsi="宋体" w:eastAsia="宋体"/>
                <w:b w:val="0"/>
                <w:w w:val="100"/>
                <w:sz w:val="21"/>
              </w:rPr>
              <w:t>招标文件要求的得</w:t>
            </w:r>
            <w:r>
              <w:rPr>
                <w:rFonts w:hint="eastAsia" w:ascii="宋体" w:hAnsi="宋体" w:eastAsia="宋体"/>
                <w:b w:val="0"/>
                <w:w w:val="100"/>
                <w:sz w:val="21"/>
                <w:lang w:val="en-US" w:eastAsia="zh-CN"/>
              </w:rPr>
              <w:t>40</w:t>
            </w:r>
            <w:r>
              <w:rPr>
                <w:rFonts w:ascii="宋体" w:hAnsi="宋体" w:eastAsia="宋体"/>
                <w:b w:val="0"/>
                <w:w w:val="100"/>
                <w:sz w:val="21"/>
              </w:rPr>
              <w:t>分，每有一项不满足或负偏离扣</w:t>
            </w:r>
            <w:r>
              <w:rPr>
                <w:rFonts w:hint="eastAsia" w:ascii="宋体" w:hAnsi="宋体" w:eastAsia="宋体"/>
                <w:b w:val="0"/>
                <w:w w:val="100"/>
                <w:sz w:val="21"/>
                <w:lang w:val="en-US" w:eastAsia="zh-CN"/>
              </w:rPr>
              <w:t>的2.5</w:t>
            </w:r>
            <w:r>
              <w:rPr>
                <w:rFonts w:ascii="宋体" w:hAnsi="宋体" w:eastAsia="宋体"/>
                <w:b w:val="0"/>
                <w:w w:val="100"/>
                <w:sz w:val="21"/>
              </w:rPr>
              <w:t>分</w:t>
            </w:r>
            <w:r>
              <w:rPr>
                <w:rFonts w:hint="eastAsia" w:ascii="宋体" w:hAnsi="宋体" w:eastAsia="宋体"/>
                <w:b w:val="0"/>
                <w:w w:val="100"/>
                <w:sz w:val="21"/>
                <w:lang w:eastAsia="zh-CN"/>
              </w:rPr>
              <w:t>，</w:t>
            </w:r>
            <w:r>
              <w:rPr>
                <w:rFonts w:ascii="宋体" w:hAnsi="宋体" w:eastAsia="宋体"/>
                <w:b w:val="0"/>
                <w:w w:val="100"/>
                <w:sz w:val="21"/>
              </w:rPr>
              <w:t>分值扣完为止。</w:t>
            </w:r>
          </w:p>
        </w:tc>
      </w:tr>
    </w:tbl>
    <w:p w14:paraId="110313A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p>
    <w:p w14:paraId="57A0416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68CDE64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C9EF7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6DF33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1B1A814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8D59F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AC6963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D217D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1B095A"/>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CB6161B"/>
    <w:rsid w:val="5DFF20EB"/>
    <w:rsid w:val="5E1C5429"/>
    <w:rsid w:val="5E233CDF"/>
    <w:rsid w:val="5E744882"/>
    <w:rsid w:val="5ED418C8"/>
    <w:rsid w:val="5EE36D23"/>
    <w:rsid w:val="5EF71E76"/>
    <w:rsid w:val="5F0C0F9F"/>
    <w:rsid w:val="5F8F55A6"/>
    <w:rsid w:val="616C33F6"/>
    <w:rsid w:val="6212481D"/>
    <w:rsid w:val="62DE1443"/>
    <w:rsid w:val="62E24E32"/>
    <w:rsid w:val="64A55108"/>
    <w:rsid w:val="64E47B74"/>
    <w:rsid w:val="65724AA6"/>
    <w:rsid w:val="6585763E"/>
    <w:rsid w:val="65A85339"/>
    <w:rsid w:val="661108EC"/>
    <w:rsid w:val="665F0BE6"/>
    <w:rsid w:val="669049D8"/>
    <w:rsid w:val="66FC737F"/>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5E17EDC"/>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347</Words>
  <Characters>370</Characters>
  <Lines>0</Lines>
  <Paragraphs>0</Paragraphs>
  <TotalTime>0</TotalTime>
  <ScaleCrop>false</ScaleCrop>
  <LinksUpToDate>false</LinksUpToDate>
  <CharactersWithSpaces>434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2026-07-14T07:09:18Z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FB32075759A94CD2A586871B51CE9252_13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