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232A648">
      <w:pPr>
        <w:numPr>
          <w:ilvl w:val="0"/>
          <w:numId w:val="0"/>
        </w:numPr>
        <w:jc w:val="both"/>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lang w:val="en-US" w:eastAsia="zh-CN"/>
        </w:rPr>
        <w:t>全自动间接免疫荧光操作/酶联免疫一体机项目（二次）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2026年7月14日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D33FED8">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EC5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670DFC7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4F19C1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5D41F99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04BCC0B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82621B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288B27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264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92F1C2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25F17A7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rPr>
              <w:t>全自动间接免疫荧光操作/酶联免疫一体机</w:t>
            </w:r>
            <w:r>
              <w:rPr>
                <w:rFonts w:hint="eastAsia" w:ascii="宋体" w:hAnsi="宋体" w:eastAsia="宋体"/>
                <w:sz w:val="28"/>
                <w:szCs w:val="28"/>
                <w:lang w:val="en-US" w:eastAsia="zh-CN"/>
              </w:rPr>
              <w:t>项目</w:t>
            </w:r>
          </w:p>
        </w:tc>
        <w:tc>
          <w:tcPr>
            <w:tcW w:w="1200" w:type="dxa"/>
            <w:vAlign w:val="center"/>
          </w:tcPr>
          <w:p w14:paraId="093ED09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295EF9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83" w:type="dxa"/>
            <w:vAlign w:val="center"/>
          </w:tcPr>
          <w:p w14:paraId="1C9EE8A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c>
          <w:tcPr>
            <w:tcW w:w="1650" w:type="dxa"/>
            <w:vAlign w:val="center"/>
          </w:tcPr>
          <w:p w14:paraId="3C1982B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r>
      <w:tr w14:paraId="563A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2DB472B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50A736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42BCD72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620000</w:t>
            </w:r>
          </w:p>
        </w:tc>
      </w:tr>
      <w:tr w14:paraId="4ABE8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4BC2883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47340C3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5A59C73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2496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35A8D1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537B03E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63A4622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2DA9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035A9FB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6BE7156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60BDB4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698D3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40343B7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CE4BC27">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550C651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single"/>
        </w:rPr>
      </w:pP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本项目包含1台全自动间接免疫荧光操作/酶联免疫一体机，用是建立风湿免疫肾脏联合实验室所需设备，用于抗核抗体、抗中性粒细胞胞浆抗体、抗角蛋白抗体、抗内皮细胞抗体等项目检测。</w:t>
      </w:r>
    </w:p>
    <w:p w14:paraId="0C2037E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样本数：≥240个样品位</w:t>
            </w:r>
            <w:r>
              <w:rPr>
                <w:rFonts w:hint="eastAsia" w:ascii="宋体" w:hAnsi="宋体" w:eastAsia="宋体" w:cs="宋体"/>
                <w:sz w:val="21"/>
                <w:szCs w:val="21"/>
                <w:lang w:eastAsia="zh-CN"/>
              </w:rPr>
              <w:t>，</w:t>
            </w:r>
            <w:r>
              <w:rPr>
                <w:rFonts w:hint="eastAsia" w:ascii="宋体" w:hAnsi="宋体" w:eastAsia="宋体" w:cs="宋体"/>
                <w:sz w:val="21"/>
                <w:szCs w:val="21"/>
              </w:rPr>
              <w:t>支持直径10-13mm的不同规格血清管</w:t>
            </w:r>
            <w:r>
              <w:rPr>
                <w:rFonts w:hint="eastAsia" w:ascii="宋体" w:hAnsi="宋体" w:eastAsia="宋体" w:cs="宋体"/>
                <w:sz w:val="21"/>
                <w:szCs w:val="21"/>
                <w:lang w:eastAsia="zh-CN"/>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试剂位：≥49个标准品/质控品位置，≥12个试剂位，≥9个稀释液位</w:t>
            </w:r>
            <w:r>
              <w:rPr>
                <w:rFonts w:hint="eastAsia" w:ascii="宋体" w:hAnsi="宋体" w:eastAsia="宋体" w:cs="宋体"/>
                <w:sz w:val="21"/>
                <w:szCs w:val="21"/>
                <w:lang w:eastAsia="zh-CN"/>
              </w:rPr>
              <w:t>。</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酶标板：≥6块酶标板</w:t>
            </w:r>
            <w:r>
              <w:rPr>
                <w:rFonts w:hint="eastAsia" w:ascii="宋体" w:hAnsi="宋体" w:eastAsia="宋体" w:cs="宋体"/>
                <w:sz w:val="21"/>
                <w:szCs w:val="21"/>
                <w:lang w:eastAsia="zh-CN"/>
              </w:rPr>
              <w:t>。</w:t>
            </w:r>
          </w:p>
        </w:tc>
      </w:tr>
      <w:tr w14:paraId="1178B2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F19A2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6B4054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533ACA88">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稀释位：≥162个常规稀释位，≥192个系列稀释位</w:t>
            </w:r>
            <w:r>
              <w:rPr>
                <w:rFonts w:hint="eastAsia" w:ascii="宋体" w:hAnsi="宋体" w:eastAsia="宋体" w:cs="宋体"/>
                <w:sz w:val="21"/>
                <w:szCs w:val="21"/>
                <w:lang w:eastAsia="zh-CN"/>
              </w:rPr>
              <w:t>。</w:t>
            </w:r>
          </w:p>
        </w:tc>
      </w:tr>
      <w:tr w14:paraId="5062B3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31AA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76245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2D5C7E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加样针：≥4针</w:t>
            </w:r>
            <w:r>
              <w:rPr>
                <w:rFonts w:hint="eastAsia" w:ascii="宋体" w:hAnsi="宋体" w:eastAsia="宋体" w:cs="宋体"/>
                <w:sz w:val="21"/>
                <w:szCs w:val="21"/>
                <w:lang w:eastAsia="zh-CN"/>
              </w:rPr>
              <w:t>。</w:t>
            </w:r>
          </w:p>
        </w:tc>
      </w:tr>
      <w:tr w14:paraId="6E2E84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D095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0C491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0D5E1A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液面探测：具有凝块/液面探测功能，加样容积：5-1000μL</w:t>
            </w:r>
            <w:r>
              <w:rPr>
                <w:rFonts w:hint="eastAsia" w:ascii="宋体" w:hAnsi="宋体" w:eastAsia="宋体" w:cs="宋体"/>
                <w:sz w:val="21"/>
                <w:szCs w:val="21"/>
                <w:lang w:eastAsia="zh-CN"/>
              </w:rPr>
              <w:t>。</w:t>
            </w:r>
          </w:p>
        </w:tc>
      </w:tr>
      <w:tr w14:paraId="4E77E9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D8231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C7406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6AFEDD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精确度</w:t>
            </w:r>
            <w:r>
              <w:rPr>
                <w:rFonts w:hint="eastAsia" w:ascii="宋体" w:hAnsi="宋体" w:eastAsia="宋体" w:cs="宋体"/>
                <w:sz w:val="21"/>
                <w:szCs w:val="21"/>
                <w:lang w:eastAsia="zh-CN"/>
              </w:rPr>
              <w:t>：</w:t>
            </w:r>
            <w:r>
              <w:rPr>
                <w:rFonts w:hint="eastAsia" w:ascii="宋体" w:hAnsi="宋体" w:eastAsia="宋体" w:cs="宋体"/>
                <w:sz w:val="21"/>
                <w:szCs w:val="21"/>
              </w:rPr>
              <w:t>CV</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1D96C9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3F73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51CF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0799427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清洗方式：</w:t>
            </w:r>
            <w:r>
              <w:rPr>
                <w:rFonts w:hint="eastAsia" w:ascii="宋体" w:hAnsi="宋体" w:eastAsia="宋体" w:cs="宋体"/>
                <w:sz w:val="21"/>
                <w:szCs w:val="21"/>
                <w:lang w:val="en-US" w:eastAsia="zh-CN"/>
              </w:rPr>
              <w:t>支持</w:t>
            </w:r>
            <w:r>
              <w:rPr>
                <w:rFonts w:hint="eastAsia" w:ascii="宋体" w:hAnsi="宋体" w:eastAsia="宋体" w:cs="宋体"/>
                <w:sz w:val="21"/>
                <w:szCs w:val="21"/>
              </w:rPr>
              <w:t>浸泡式清洗，可同时处理</w:t>
            </w:r>
            <w:r>
              <w:rPr>
                <w:rFonts w:hint="eastAsia" w:ascii="宋体" w:hAnsi="宋体" w:eastAsia="宋体" w:cs="宋体"/>
                <w:sz w:val="21"/>
                <w:szCs w:val="21"/>
                <w:lang w:val="en-US" w:eastAsia="zh-CN"/>
              </w:rPr>
              <w:t>至少</w:t>
            </w:r>
            <w:r>
              <w:rPr>
                <w:rFonts w:hint="eastAsia" w:ascii="宋体" w:hAnsi="宋体" w:eastAsia="宋体" w:cs="宋体"/>
                <w:sz w:val="21"/>
                <w:szCs w:val="21"/>
              </w:rPr>
              <w:t>5张荧光载片</w:t>
            </w:r>
            <w:r>
              <w:rPr>
                <w:rFonts w:hint="eastAsia" w:ascii="宋体" w:hAnsi="宋体" w:eastAsia="宋体" w:cs="宋体"/>
                <w:sz w:val="21"/>
                <w:szCs w:val="21"/>
                <w:lang w:eastAsia="zh-CN"/>
              </w:rPr>
              <w:t>。</w:t>
            </w:r>
          </w:p>
        </w:tc>
      </w:tr>
      <w:tr w14:paraId="33FF727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31AC76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603F7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286E8C0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清洗站：</w:t>
            </w:r>
            <w:r>
              <w:rPr>
                <w:rFonts w:hint="eastAsia" w:ascii="宋体" w:hAnsi="宋体" w:eastAsia="宋体" w:cs="宋体"/>
                <w:sz w:val="21"/>
                <w:szCs w:val="21"/>
                <w:lang w:val="en-US" w:eastAsia="zh-CN"/>
              </w:rPr>
              <w:t>应为</w:t>
            </w:r>
            <w:r>
              <w:rPr>
                <w:rFonts w:hint="eastAsia" w:ascii="宋体" w:hAnsi="宋体" w:eastAsia="宋体" w:cs="宋体"/>
                <w:sz w:val="21"/>
                <w:szCs w:val="21"/>
              </w:rPr>
              <w:t>8通道清洗系统</w:t>
            </w:r>
            <w:r>
              <w:rPr>
                <w:rFonts w:hint="eastAsia" w:ascii="宋体" w:hAnsi="宋体" w:eastAsia="宋体" w:cs="宋体"/>
                <w:sz w:val="21"/>
                <w:szCs w:val="21"/>
                <w:lang w:eastAsia="zh-CN"/>
              </w:rPr>
              <w:t>。</w:t>
            </w:r>
          </w:p>
        </w:tc>
      </w:tr>
      <w:tr w14:paraId="52EA6B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3A57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39A0F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71E0AA1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呼谱项目：支持呼吸道病原体检测和EBV检测前处理上机全自动操作（含样本稀释）</w:t>
            </w:r>
            <w:r>
              <w:rPr>
                <w:rFonts w:hint="eastAsia" w:ascii="宋体" w:hAnsi="宋体" w:eastAsia="宋体" w:cs="宋体"/>
                <w:sz w:val="21"/>
                <w:szCs w:val="21"/>
                <w:lang w:eastAsia="zh-CN"/>
              </w:rPr>
              <w:t>。</w:t>
            </w:r>
          </w:p>
        </w:tc>
      </w:tr>
      <w:tr w14:paraId="090044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61AE2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7679E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5C2EC31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荧光片后处理</w:t>
            </w:r>
            <w:r>
              <w:rPr>
                <w:rFonts w:hint="eastAsia" w:ascii="宋体" w:hAnsi="宋体" w:eastAsia="宋体" w:cs="宋体"/>
                <w:sz w:val="21"/>
                <w:szCs w:val="21"/>
                <w:lang w:eastAsia="zh-CN"/>
              </w:rPr>
              <w:t>，</w:t>
            </w:r>
            <w:r>
              <w:rPr>
                <w:rFonts w:hint="eastAsia" w:ascii="宋体" w:hAnsi="宋体" w:eastAsia="宋体" w:cs="宋体"/>
                <w:sz w:val="21"/>
                <w:szCs w:val="21"/>
              </w:rPr>
              <w:t>前处理结束，可自动用PBS缓冲液浸泡荧光载片，防止封片前荧光片变干</w:t>
            </w:r>
            <w:r>
              <w:rPr>
                <w:rFonts w:hint="eastAsia" w:ascii="宋体" w:hAnsi="宋体" w:eastAsia="宋体" w:cs="宋体"/>
                <w:sz w:val="21"/>
                <w:szCs w:val="21"/>
                <w:lang w:eastAsia="zh-CN"/>
              </w:rPr>
              <w:t>。</w:t>
            </w:r>
          </w:p>
        </w:tc>
      </w:tr>
      <w:tr w14:paraId="5DE93C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C2D7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C9257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75AF374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光学系统：</w:t>
            </w:r>
            <w:r>
              <w:rPr>
                <w:rFonts w:hint="eastAsia" w:ascii="宋体" w:hAnsi="宋体" w:eastAsia="宋体" w:cs="宋体"/>
                <w:bCs/>
                <w:sz w:val="21"/>
                <w:szCs w:val="21"/>
                <w:lang w:val="en-US" w:eastAsia="zh-CN"/>
              </w:rPr>
              <w:t>具备</w:t>
            </w:r>
            <w:r>
              <w:rPr>
                <w:rFonts w:hint="eastAsia" w:ascii="宋体" w:hAnsi="宋体" w:eastAsia="宋体" w:cs="宋体"/>
                <w:bCs/>
                <w:sz w:val="21"/>
                <w:szCs w:val="21"/>
              </w:rPr>
              <w:t>无限远校正光学系统</w:t>
            </w:r>
            <w:r>
              <w:rPr>
                <w:rFonts w:hint="eastAsia" w:ascii="宋体" w:hAnsi="宋体" w:eastAsia="宋体" w:cs="宋体"/>
                <w:bCs/>
                <w:sz w:val="21"/>
                <w:szCs w:val="21"/>
                <w:lang w:eastAsia="zh-CN"/>
              </w:rPr>
              <w:t>。</w:t>
            </w:r>
          </w:p>
        </w:tc>
      </w:tr>
      <w:tr w14:paraId="5C8015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D0243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0B021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6F5CF7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光源输出</w:t>
            </w:r>
            <w:r>
              <w:rPr>
                <w:rFonts w:hint="eastAsia" w:ascii="宋体" w:hAnsi="宋体" w:eastAsia="宋体" w:cs="宋体"/>
                <w:bCs/>
                <w:sz w:val="21"/>
                <w:szCs w:val="21"/>
                <w:lang w:eastAsia="zh-CN"/>
              </w:rPr>
              <w:t>：</w:t>
            </w:r>
            <w:r>
              <w:rPr>
                <w:rFonts w:hint="eastAsia" w:ascii="宋体" w:hAnsi="宋体" w:eastAsia="宋体" w:cs="宋体"/>
                <w:bCs/>
                <w:sz w:val="21"/>
                <w:szCs w:val="21"/>
              </w:rPr>
              <w:t>LED光源无衰减输出</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使用寿命</w:t>
            </w:r>
            <w:r>
              <w:rPr>
                <w:rFonts w:hint="eastAsia" w:ascii="宋体" w:hAnsi="宋体" w:eastAsia="宋体" w:cs="宋体"/>
                <w:bCs/>
                <w:sz w:val="21"/>
                <w:szCs w:val="21"/>
              </w:rPr>
              <w:t>≥50000小时</w:t>
            </w:r>
            <w:r>
              <w:rPr>
                <w:rFonts w:hint="eastAsia" w:ascii="宋体" w:hAnsi="宋体" w:eastAsia="宋体" w:cs="宋体"/>
                <w:bCs/>
                <w:sz w:val="21"/>
                <w:szCs w:val="21"/>
                <w:lang w:eastAsia="zh-CN"/>
              </w:rPr>
              <w:t>。</w:t>
            </w:r>
          </w:p>
        </w:tc>
      </w:tr>
      <w:tr w14:paraId="4853D95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7770B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2BCE8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599F1E2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稳定性：使用寿命内光强</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稳定、无衰减</w:t>
            </w:r>
            <w:r>
              <w:rPr>
                <w:rFonts w:hint="eastAsia" w:ascii="宋体" w:hAnsi="宋体" w:eastAsia="宋体" w:cs="宋体"/>
                <w:bCs/>
                <w:sz w:val="21"/>
                <w:szCs w:val="21"/>
                <w:lang w:eastAsia="zh-CN"/>
              </w:rPr>
              <w:t>。</w:t>
            </w:r>
          </w:p>
        </w:tc>
      </w:tr>
      <w:tr w14:paraId="41D988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FCC86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4A2054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16B1E63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激发光波长范</w:t>
            </w:r>
            <w:r>
              <w:rPr>
                <w:rFonts w:hint="eastAsia" w:ascii="宋体" w:hAnsi="宋体" w:eastAsia="宋体" w:cs="宋体"/>
                <w:sz w:val="21"/>
                <w:szCs w:val="21"/>
              </w:rPr>
              <w:t>围</w:t>
            </w:r>
            <w:r>
              <w:rPr>
                <w:rFonts w:hint="eastAsia" w:ascii="宋体" w:hAnsi="宋体" w:eastAsia="宋体" w:cs="宋体"/>
                <w:sz w:val="21"/>
                <w:szCs w:val="21"/>
                <w:lang w:eastAsia="zh-CN"/>
              </w:rPr>
              <w:t>：</w:t>
            </w:r>
            <w:r>
              <w:rPr>
                <w:rFonts w:hint="eastAsia" w:ascii="宋体" w:hAnsi="宋体" w:eastAsia="宋体" w:cs="宋体"/>
                <w:sz w:val="21"/>
                <w:szCs w:val="21"/>
              </w:rPr>
              <w:t>460－490nm，</w:t>
            </w:r>
            <w:r>
              <w:rPr>
                <w:rFonts w:hint="eastAsia" w:ascii="宋体" w:hAnsi="宋体" w:eastAsia="宋体" w:cs="宋体"/>
                <w:sz w:val="21"/>
                <w:szCs w:val="21"/>
                <w:lang w:val="en-US" w:eastAsia="zh-CN"/>
              </w:rPr>
              <w:t>应</w:t>
            </w:r>
            <w:r>
              <w:rPr>
                <w:rFonts w:hint="eastAsia" w:ascii="宋体" w:hAnsi="宋体" w:eastAsia="宋体" w:cs="宋体"/>
                <w:sz w:val="21"/>
                <w:szCs w:val="21"/>
              </w:rPr>
              <w:t>适用免疫荧光检测标记物需要</w:t>
            </w:r>
            <w:r>
              <w:rPr>
                <w:rFonts w:hint="eastAsia" w:ascii="宋体" w:hAnsi="宋体" w:eastAsia="宋体" w:cs="宋体"/>
                <w:sz w:val="21"/>
                <w:szCs w:val="21"/>
                <w:lang w:eastAsia="zh-CN"/>
              </w:rPr>
              <w:t>。</w:t>
            </w:r>
          </w:p>
        </w:tc>
      </w:tr>
      <w:tr w14:paraId="024568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AC681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220BE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3B2E823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物镜转换器</w:t>
            </w:r>
            <w:r>
              <w:rPr>
                <w:rFonts w:hint="eastAsia" w:ascii="宋体" w:hAnsi="宋体" w:eastAsia="宋体" w:cs="宋体"/>
                <w:bCs/>
                <w:sz w:val="21"/>
                <w:szCs w:val="21"/>
                <w:lang w:eastAsia="zh-CN"/>
              </w:rPr>
              <w:t>：</w:t>
            </w:r>
            <w:r>
              <w:rPr>
                <w:rFonts w:hint="eastAsia" w:ascii="宋体" w:hAnsi="宋体" w:eastAsia="宋体" w:cs="宋体"/>
                <w:bCs/>
                <w:sz w:val="21"/>
                <w:szCs w:val="21"/>
              </w:rPr>
              <w:t>手动，</w:t>
            </w:r>
            <w:r>
              <w:rPr>
                <w:rFonts w:hint="eastAsia" w:ascii="宋体" w:hAnsi="宋体" w:eastAsia="宋体" w:cs="宋体"/>
                <w:bCs/>
                <w:sz w:val="21"/>
                <w:szCs w:val="21"/>
                <w:lang w:val="en-US" w:eastAsia="zh-CN"/>
              </w:rPr>
              <w:t>至少</w:t>
            </w:r>
            <w:r>
              <w:rPr>
                <w:rFonts w:hint="eastAsia" w:ascii="宋体" w:hAnsi="宋体" w:eastAsia="宋体" w:cs="宋体"/>
                <w:bCs/>
                <w:sz w:val="21"/>
                <w:szCs w:val="21"/>
              </w:rPr>
              <w:t>4档，可同时装载</w:t>
            </w:r>
            <w:r>
              <w:rPr>
                <w:rFonts w:hint="eastAsia" w:ascii="宋体" w:hAnsi="宋体" w:eastAsia="宋体" w:cs="宋体"/>
                <w:bCs/>
                <w:sz w:val="21"/>
                <w:szCs w:val="21"/>
                <w:lang w:val="en-US" w:eastAsia="zh-CN"/>
              </w:rPr>
              <w:t>至少</w:t>
            </w:r>
            <w:r>
              <w:rPr>
                <w:rFonts w:hint="eastAsia" w:ascii="宋体" w:hAnsi="宋体" w:eastAsia="宋体" w:cs="宋体"/>
                <w:bCs/>
                <w:sz w:val="21"/>
                <w:szCs w:val="21"/>
              </w:rPr>
              <w:t>4个物镜</w:t>
            </w:r>
            <w:r>
              <w:rPr>
                <w:rFonts w:hint="eastAsia" w:ascii="宋体" w:hAnsi="宋体" w:eastAsia="宋体" w:cs="宋体"/>
                <w:bCs/>
                <w:sz w:val="21"/>
                <w:szCs w:val="21"/>
                <w:lang w:eastAsia="zh-CN"/>
              </w:rPr>
              <w:t>。</w:t>
            </w:r>
          </w:p>
        </w:tc>
      </w:tr>
      <w:tr w14:paraId="28E54C8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B8BF2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2F2018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17</w:t>
            </w:r>
          </w:p>
        </w:tc>
        <w:tc>
          <w:tcPr>
            <w:tcW w:w="7061" w:type="dxa"/>
            <w:tcBorders>
              <w:top w:val="single" w:color="auto" w:sz="4" w:space="0"/>
              <w:left w:val="nil"/>
              <w:bottom w:val="single" w:color="auto" w:sz="4" w:space="0"/>
              <w:right w:val="single" w:color="auto" w:sz="4" w:space="0"/>
            </w:tcBorders>
            <w:vAlign w:val="center"/>
          </w:tcPr>
          <w:p w14:paraId="493247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平场消色差物镜：</w:t>
            </w:r>
            <w:r>
              <w:rPr>
                <w:rFonts w:hint="eastAsia" w:ascii="宋体" w:hAnsi="宋体" w:eastAsia="宋体" w:cs="宋体"/>
                <w:color w:val="000000"/>
                <w:kern w:val="0"/>
                <w:sz w:val="21"/>
                <w:szCs w:val="21"/>
                <w:lang w:val="en-US" w:eastAsia="zh-CN"/>
              </w:rPr>
              <w:t>配备</w:t>
            </w:r>
            <w:r>
              <w:rPr>
                <w:rFonts w:hint="eastAsia" w:ascii="宋体" w:hAnsi="宋体" w:eastAsia="宋体" w:cs="宋体"/>
                <w:color w:val="000000"/>
                <w:kern w:val="0"/>
                <w:sz w:val="21"/>
                <w:szCs w:val="21"/>
              </w:rPr>
              <w:t>10X、20X、40X、100X</w:t>
            </w:r>
            <w:r>
              <w:rPr>
                <w:rFonts w:hint="eastAsia" w:ascii="宋体" w:hAnsi="宋体" w:eastAsia="宋体" w:cs="宋体"/>
                <w:color w:val="000000"/>
                <w:kern w:val="0"/>
                <w:sz w:val="21"/>
                <w:szCs w:val="21"/>
                <w:lang w:eastAsia="zh-CN"/>
              </w:rPr>
              <w:t>。</w:t>
            </w:r>
          </w:p>
        </w:tc>
      </w:tr>
      <w:tr w14:paraId="6909C1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0C53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E20C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18</w:t>
            </w:r>
          </w:p>
        </w:tc>
        <w:tc>
          <w:tcPr>
            <w:tcW w:w="7061" w:type="dxa"/>
            <w:tcBorders>
              <w:top w:val="single" w:color="auto" w:sz="4" w:space="0"/>
              <w:left w:val="nil"/>
              <w:bottom w:val="single" w:color="auto" w:sz="4" w:space="0"/>
              <w:right w:val="single" w:color="auto" w:sz="4" w:space="0"/>
            </w:tcBorders>
            <w:vAlign w:val="center"/>
          </w:tcPr>
          <w:p w14:paraId="46092CD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目镜（2个）</w:t>
            </w:r>
            <w:r>
              <w:rPr>
                <w:rFonts w:hint="eastAsia" w:ascii="宋体" w:hAnsi="宋体" w:eastAsia="宋体" w:cs="宋体"/>
                <w:sz w:val="21"/>
                <w:szCs w:val="21"/>
                <w:lang w:eastAsia="zh-CN"/>
              </w:rPr>
              <w:t>：</w:t>
            </w:r>
            <w:r>
              <w:rPr>
                <w:rFonts w:hint="eastAsia" w:ascii="宋体" w:hAnsi="宋体" w:eastAsia="宋体" w:cs="宋体"/>
                <w:sz w:val="21"/>
                <w:szCs w:val="21"/>
              </w:rPr>
              <w:t>10×/20 Br</w:t>
            </w:r>
            <w:r>
              <w:rPr>
                <w:rFonts w:hint="eastAsia" w:ascii="宋体" w:hAnsi="宋体" w:eastAsia="宋体" w:cs="宋体"/>
                <w:sz w:val="21"/>
                <w:szCs w:val="21"/>
                <w:lang w:eastAsia="zh-CN"/>
              </w:rPr>
              <w:t>。</w:t>
            </w:r>
          </w:p>
        </w:tc>
      </w:tr>
      <w:tr w14:paraId="6C1B91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05EB68">
            <w:pPr>
              <w:widowControl/>
              <w:spacing w:line="240" w:lineRule="auto"/>
              <w:jc w:val="center"/>
              <w:rPr>
                <w:rFonts w:hint="eastAsia" w:ascii="宋体" w:hAnsi="宋体" w:eastAsia="宋体" w:cs="宋体"/>
                <w:sz w:val="21"/>
                <w:szCs w:val="21"/>
                <w:highlight w:val="yellow"/>
                <w:lang w:bidi="lo-LA"/>
              </w:rPr>
            </w:pPr>
          </w:p>
        </w:tc>
        <w:tc>
          <w:tcPr>
            <w:tcW w:w="750" w:type="dxa"/>
            <w:tcBorders>
              <w:top w:val="single" w:color="auto" w:sz="4" w:space="0"/>
              <w:left w:val="nil"/>
              <w:bottom w:val="single" w:color="auto" w:sz="4" w:space="0"/>
              <w:right w:val="single" w:color="auto" w:sz="4" w:space="0"/>
            </w:tcBorders>
            <w:vAlign w:val="center"/>
          </w:tcPr>
          <w:p w14:paraId="1924D53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19</w:t>
            </w:r>
          </w:p>
        </w:tc>
        <w:tc>
          <w:tcPr>
            <w:tcW w:w="7061" w:type="dxa"/>
            <w:tcBorders>
              <w:top w:val="single" w:color="auto" w:sz="4" w:space="0"/>
              <w:left w:val="nil"/>
              <w:bottom w:val="single" w:color="auto" w:sz="4" w:space="0"/>
              <w:right w:val="single" w:color="auto" w:sz="4" w:space="0"/>
            </w:tcBorders>
            <w:vAlign w:val="center"/>
          </w:tcPr>
          <w:p w14:paraId="3514700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发射滤片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波长</w:t>
            </w:r>
            <w:r>
              <w:rPr>
                <w:rFonts w:hint="eastAsia" w:ascii="宋体" w:hAnsi="宋体" w:eastAsia="宋体" w:cs="宋体"/>
                <w:sz w:val="21"/>
                <w:szCs w:val="21"/>
              </w:rPr>
              <w:t>515 nm</w:t>
            </w:r>
            <w:r>
              <w:rPr>
                <w:rFonts w:hint="eastAsia" w:ascii="宋体" w:hAnsi="宋体" w:eastAsia="宋体" w:cs="宋体"/>
                <w:sz w:val="21"/>
                <w:szCs w:val="21"/>
                <w:lang w:eastAsia="zh-CN"/>
              </w:rPr>
              <w:t>。</w:t>
            </w:r>
          </w:p>
        </w:tc>
      </w:tr>
      <w:tr w14:paraId="1FC4362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9BB0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DA1C9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20</w:t>
            </w:r>
          </w:p>
        </w:tc>
        <w:tc>
          <w:tcPr>
            <w:tcW w:w="7061" w:type="dxa"/>
            <w:tcBorders>
              <w:top w:val="single" w:color="auto" w:sz="4" w:space="0"/>
              <w:left w:val="nil"/>
              <w:bottom w:val="single" w:color="auto" w:sz="4" w:space="0"/>
              <w:right w:val="single" w:color="auto" w:sz="4" w:space="0"/>
            </w:tcBorders>
            <w:vAlign w:val="center"/>
          </w:tcPr>
          <w:p w14:paraId="7686785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图像设备：</w:t>
            </w:r>
            <w:r>
              <w:rPr>
                <w:rFonts w:hint="eastAsia" w:ascii="宋体" w:hAnsi="宋体" w:eastAsia="宋体" w:cs="宋体"/>
                <w:sz w:val="21"/>
                <w:szCs w:val="21"/>
                <w:lang w:val="en-US" w:eastAsia="zh-CN"/>
              </w:rPr>
              <w:t>配备不低于</w:t>
            </w:r>
            <w:r>
              <w:rPr>
                <w:rFonts w:hint="eastAsia" w:ascii="宋体" w:hAnsi="宋体" w:eastAsia="宋体" w:cs="宋体"/>
                <w:sz w:val="21"/>
                <w:szCs w:val="21"/>
              </w:rPr>
              <w:t>1/1.8"彩色637万CMOS，分辨率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3088 x 2064 有效像素</w:t>
            </w:r>
            <w:r>
              <w:rPr>
                <w:rFonts w:hint="eastAsia" w:ascii="宋体" w:hAnsi="宋体" w:eastAsia="宋体" w:cs="宋体"/>
                <w:sz w:val="21"/>
                <w:szCs w:val="21"/>
                <w:lang w:eastAsia="zh-CN"/>
              </w:rPr>
              <w:t>。</w:t>
            </w:r>
          </w:p>
        </w:tc>
      </w:tr>
      <w:tr w14:paraId="2B68CC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7D80A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BE651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21</w:t>
            </w:r>
          </w:p>
        </w:tc>
        <w:tc>
          <w:tcPr>
            <w:tcW w:w="7061" w:type="dxa"/>
            <w:tcBorders>
              <w:top w:val="single" w:color="auto" w:sz="4" w:space="0"/>
              <w:left w:val="nil"/>
              <w:bottom w:val="single" w:color="auto" w:sz="4" w:space="0"/>
              <w:right w:val="single" w:color="auto" w:sz="4" w:space="0"/>
            </w:tcBorders>
            <w:vAlign w:val="center"/>
          </w:tcPr>
          <w:p w14:paraId="5C39AB2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白平衡：自动/手动，</w:t>
            </w:r>
            <w:r>
              <w:rPr>
                <w:rFonts w:hint="eastAsia" w:ascii="宋体" w:hAnsi="宋体" w:eastAsia="宋体" w:cs="宋体"/>
                <w:color w:val="000000"/>
                <w:kern w:val="0"/>
                <w:sz w:val="21"/>
                <w:szCs w:val="21"/>
                <w:lang w:val="en-US" w:eastAsia="zh-CN"/>
              </w:rPr>
              <w:t>支持</w:t>
            </w:r>
            <w:r>
              <w:rPr>
                <w:rFonts w:hint="eastAsia" w:ascii="宋体" w:hAnsi="宋体" w:eastAsia="宋体" w:cs="宋体"/>
                <w:color w:val="000000"/>
                <w:kern w:val="0"/>
                <w:sz w:val="21"/>
                <w:szCs w:val="21"/>
              </w:rPr>
              <w:t>一键白平衡</w:t>
            </w:r>
            <w:r>
              <w:rPr>
                <w:rFonts w:hint="eastAsia" w:ascii="宋体" w:hAnsi="宋体" w:eastAsia="宋体" w:cs="宋体"/>
                <w:color w:val="000000"/>
                <w:kern w:val="0"/>
                <w:sz w:val="21"/>
                <w:szCs w:val="21"/>
                <w:lang w:eastAsia="zh-CN"/>
              </w:rPr>
              <w:t>。</w:t>
            </w:r>
          </w:p>
        </w:tc>
      </w:tr>
      <w:tr w14:paraId="44CB7D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2759A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0A6FAF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22</w:t>
            </w:r>
          </w:p>
        </w:tc>
        <w:tc>
          <w:tcPr>
            <w:tcW w:w="7061" w:type="dxa"/>
            <w:tcBorders>
              <w:top w:val="single" w:color="auto" w:sz="4" w:space="0"/>
              <w:left w:val="nil"/>
              <w:bottom w:val="single" w:color="auto" w:sz="4" w:space="0"/>
              <w:right w:val="single" w:color="auto" w:sz="4" w:space="0"/>
            </w:tcBorders>
            <w:vAlign w:val="center"/>
          </w:tcPr>
          <w:p w14:paraId="50F792E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镜下荧光图像</w:t>
            </w:r>
            <w:r>
              <w:rPr>
                <w:rFonts w:hint="eastAsia" w:ascii="宋体" w:hAnsi="宋体" w:eastAsia="宋体" w:cs="宋体"/>
                <w:color w:val="000000"/>
                <w:kern w:val="0"/>
                <w:sz w:val="21"/>
                <w:szCs w:val="21"/>
                <w:lang w:val="en-US" w:eastAsia="zh-CN"/>
              </w:rPr>
              <w:t>应</w:t>
            </w:r>
            <w:r>
              <w:rPr>
                <w:rFonts w:hint="eastAsia" w:ascii="宋体" w:hAnsi="宋体" w:eastAsia="宋体" w:cs="宋体"/>
                <w:color w:val="000000"/>
                <w:kern w:val="0"/>
                <w:sz w:val="21"/>
                <w:szCs w:val="21"/>
              </w:rPr>
              <w:t>实时显示</w:t>
            </w:r>
            <w:r>
              <w:rPr>
                <w:rFonts w:hint="eastAsia" w:ascii="宋体" w:hAnsi="宋体" w:eastAsia="宋体" w:cs="宋体"/>
                <w:color w:val="000000"/>
                <w:kern w:val="0"/>
                <w:sz w:val="21"/>
                <w:szCs w:val="21"/>
                <w:lang w:eastAsia="zh-CN"/>
              </w:rPr>
              <w:t>。</w:t>
            </w:r>
          </w:p>
        </w:tc>
      </w:tr>
      <w:tr w14:paraId="478A70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1F4D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3DD7B4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23</w:t>
            </w:r>
          </w:p>
        </w:tc>
        <w:tc>
          <w:tcPr>
            <w:tcW w:w="7061" w:type="dxa"/>
            <w:tcBorders>
              <w:top w:val="single" w:color="auto" w:sz="4" w:space="0"/>
              <w:left w:val="nil"/>
              <w:bottom w:val="single" w:color="auto" w:sz="4" w:space="0"/>
              <w:right w:val="single" w:color="auto" w:sz="4" w:space="0"/>
            </w:tcBorders>
            <w:vAlign w:val="center"/>
          </w:tcPr>
          <w:p w14:paraId="12CFC37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支持多路图像并行处理，支持普通拍摄和高分辨率拍摄功能</w:t>
            </w:r>
            <w:r>
              <w:rPr>
                <w:rFonts w:hint="eastAsia" w:ascii="宋体" w:hAnsi="宋体" w:eastAsia="宋体" w:cs="宋体"/>
                <w:color w:val="000000"/>
                <w:kern w:val="0"/>
                <w:sz w:val="21"/>
                <w:szCs w:val="21"/>
                <w:lang w:eastAsia="zh-CN"/>
              </w:rPr>
              <w:t>。</w:t>
            </w:r>
          </w:p>
        </w:tc>
      </w:tr>
      <w:tr w14:paraId="74822C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B257E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DE39EB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24</w:t>
            </w:r>
          </w:p>
        </w:tc>
        <w:tc>
          <w:tcPr>
            <w:tcW w:w="7061" w:type="dxa"/>
            <w:tcBorders>
              <w:top w:val="single" w:color="auto" w:sz="4" w:space="0"/>
              <w:left w:val="nil"/>
              <w:bottom w:val="single" w:color="auto" w:sz="4" w:space="0"/>
              <w:right w:val="single" w:color="auto" w:sz="4" w:space="0"/>
            </w:tcBorders>
            <w:vAlign w:val="center"/>
          </w:tcPr>
          <w:p w14:paraId="104CFC9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000000"/>
                <w:kern w:val="0"/>
                <w:sz w:val="21"/>
                <w:szCs w:val="21"/>
              </w:rPr>
              <w:t>支持多种基于照片的标记批注方式，</w:t>
            </w:r>
            <w:r>
              <w:rPr>
                <w:rFonts w:hint="eastAsia" w:ascii="宋体" w:hAnsi="宋体" w:eastAsia="宋体" w:cs="宋体"/>
                <w:color w:val="000000"/>
                <w:kern w:val="0"/>
                <w:sz w:val="21"/>
                <w:szCs w:val="21"/>
                <w:lang w:val="en-US" w:eastAsia="zh-CN"/>
              </w:rPr>
              <w:t>能够</w:t>
            </w:r>
            <w:r>
              <w:rPr>
                <w:rFonts w:hint="eastAsia" w:ascii="宋体" w:hAnsi="宋体" w:eastAsia="宋体" w:cs="宋体"/>
                <w:color w:val="000000"/>
                <w:kern w:val="0"/>
                <w:sz w:val="21"/>
                <w:szCs w:val="21"/>
              </w:rPr>
              <w:t>更清晰更明确的指明病患位置</w:t>
            </w:r>
            <w:r>
              <w:rPr>
                <w:rFonts w:hint="eastAsia" w:ascii="宋体" w:hAnsi="宋体" w:eastAsia="宋体" w:cs="宋体"/>
                <w:color w:val="000000"/>
                <w:kern w:val="0"/>
                <w:sz w:val="21"/>
                <w:szCs w:val="21"/>
                <w:lang w:eastAsia="zh-CN"/>
              </w:rPr>
              <w:t>。</w:t>
            </w:r>
          </w:p>
        </w:tc>
      </w:tr>
      <w:tr w14:paraId="42150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195A7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AFCFC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25</w:t>
            </w:r>
          </w:p>
        </w:tc>
        <w:tc>
          <w:tcPr>
            <w:tcW w:w="7061" w:type="dxa"/>
            <w:tcBorders>
              <w:top w:val="single" w:color="auto" w:sz="4" w:space="0"/>
              <w:left w:val="nil"/>
              <w:bottom w:val="single" w:color="auto" w:sz="4" w:space="0"/>
              <w:right w:val="single" w:color="auto" w:sz="4" w:space="0"/>
            </w:tcBorders>
            <w:vAlign w:val="center"/>
          </w:tcPr>
          <w:p w14:paraId="72C31BF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color w:val="000000"/>
                <w:kern w:val="0"/>
                <w:sz w:val="21"/>
                <w:szCs w:val="21"/>
                <w:lang w:val="en-US" w:eastAsia="zh-CN"/>
              </w:rPr>
              <w:t>配备</w:t>
            </w:r>
            <w:r>
              <w:rPr>
                <w:rFonts w:hint="eastAsia" w:ascii="宋体" w:hAnsi="宋体" w:eastAsia="宋体" w:cs="宋体"/>
                <w:color w:val="000000"/>
                <w:kern w:val="0"/>
                <w:sz w:val="21"/>
                <w:szCs w:val="21"/>
              </w:rPr>
              <w:t>荧光核型专家系统，按需显示经典荧光片模型及判读提示，同屏比对，有效辅助荧光核型判读。</w:t>
            </w:r>
          </w:p>
        </w:tc>
      </w:tr>
      <w:tr w14:paraId="6043E75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48848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10F39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26</w:t>
            </w:r>
          </w:p>
        </w:tc>
        <w:tc>
          <w:tcPr>
            <w:tcW w:w="7061" w:type="dxa"/>
            <w:tcBorders>
              <w:top w:val="single" w:color="auto" w:sz="4" w:space="0"/>
              <w:left w:val="nil"/>
              <w:bottom w:val="single" w:color="auto" w:sz="4" w:space="0"/>
              <w:right w:val="single" w:color="auto" w:sz="4" w:space="0"/>
            </w:tcBorders>
            <w:vAlign w:val="center"/>
          </w:tcPr>
          <w:p w14:paraId="5E5E3C8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酶标仪：8通道酶标仪，测量波长范围400-800nm</w:t>
            </w:r>
            <w:r>
              <w:rPr>
                <w:rFonts w:hint="eastAsia" w:ascii="宋体" w:hAnsi="宋体" w:eastAsia="宋体" w:cs="宋体"/>
                <w:sz w:val="21"/>
                <w:szCs w:val="21"/>
                <w:lang w:eastAsia="zh-CN"/>
              </w:rPr>
              <w:t>。</w:t>
            </w:r>
          </w:p>
        </w:tc>
      </w:tr>
      <w:tr w14:paraId="06903D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BF99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78F33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27</w:t>
            </w:r>
          </w:p>
        </w:tc>
        <w:tc>
          <w:tcPr>
            <w:tcW w:w="7061" w:type="dxa"/>
            <w:tcBorders>
              <w:top w:val="single" w:color="auto" w:sz="4" w:space="0"/>
              <w:left w:val="nil"/>
              <w:bottom w:val="single" w:color="auto" w:sz="4" w:space="0"/>
              <w:right w:val="single" w:color="auto" w:sz="4" w:space="0"/>
            </w:tcBorders>
            <w:vAlign w:val="center"/>
          </w:tcPr>
          <w:p w14:paraId="5517A13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一个载片托盘可承载≥3种规格的荧光载片，可同时检测≥4个检测项目</w:t>
            </w:r>
            <w:r>
              <w:rPr>
                <w:rFonts w:hint="eastAsia" w:ascii="宋体" w:hAnsi="宋体" w:eastAsia="宋体" w:cs="宋体"/>
                <w:sz w:val="21"/>
                <w:szCs w:val="21"/>
                <w:lang w:eastAsia="zh-CN"/>
              </w:rPr>
              <w:t>。</w:t>
            </w:r>
          </w:p>
        </w:tc>
      </w:tr>
      <w:tr w14:paraId="1E50E3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28E6A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E26A11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28</w:t>
            </w:r>
          </w:p>
        </w:tc>
        <w:tc>
          <w:tcPr>
            <w:tcW w:w="7061" w:type="dxa"/>
            <w:tcBorders>
              <w:top w:val="single" w:color="auto" w:sz="4" w:space="0"/>
              <w:left w:val="nil"/>
              <w:bottom w:val="single" w:color="auto" w:sz="4" w:space="0"/>
              <w:right w:val="single" w:color="auto" w:sz="4" w:space="0"/>
            </w:tcBorders>
            <w:vAlign w:val="center"/>
          </w:tcPr>
          <w:p w14:paraId="5AFFB1B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负责与医院</w:t>
            </w:r>
            <w:r>
              <w:rPr>
                <w:rFonts w:hint="eastAsia" w:ascii="宋体" w:hAnsi="宋体" w:eastAsia="宋体" w:cs="宋体"/>
                <w:sz w:val="21"/>
                <w:szCs w:val="21"/>
              </w:rPr>
              <w:t>LIS</w:t>
            </w:r>
            <w:r>
              <w:rPr>
                <w:rFonts w:hint="eastAsia" w:ascii="宋体" w:hAnsi="宋体" w:eastAsia="宋体" w:cs="宋体"/>
                <w:sz w:val="21"/>
                <w:szCs w:val="21"/>
                <w:lang w:val="en-US" w:eastAsia="zh-CN"/>
              </w:rPr>
              <w:t>系统实现</w:t>
            </w:r>
            <w:r>
              <w:rPr>
                <w:rFonts w:hint="eastAsia" w:ascii="宋体" w:hAnsi="宋体" w:eastAsia="宋体" w:cs="宋体"/>
                <w:sz w:val="21"/>
                <w:szCs w:val="21"/>
              </w:rPr>
              <w:t>双向通讯</w:t>
            </w:r>
            <w:r>
              <w:rPr>
                <w:rFonts w:hint="eastAsia" w:ascii="宋体" w:hAnsi="宋体" w:eastAsia="宋体" w:cs="宋体"/>
                <w:sz w:val="21"/>
                <w:szCs w:val="21"/>
                <w:lang w:eastAsia="zh-CN"/>
              </w:rPr>
              <w:t>。</w:t>
            </w:r>
          </w:p>
        </w:tc>
      </w:tr>
      <w:tr w14:paraId="298D28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8CEF3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84464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vAlign w:val="center"/>
          </w:tcPr>
          <w:p w14:paraId="62D20D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lo-LA"/>
              </w:rPr>
              <w:t>设备配套使用的所有一次性使用医用耗材应在内蒙古自治区阳采平台上。</w:t>
            </w:r>
          </w:p>
        </w:tc>
      </w:tr>
      <w:tr w14:paraId="50E220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BA29F21">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989E4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2A8DD9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96093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DE0241">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06EB67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9244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7485B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059582E">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48FF47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D62641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7B4CF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6CBF6DD">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E413C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151AE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0DECD3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DE5EE2B">
            <w:pPr>
              <w:widowControl/>
              <w:spacing w:line="240" w:lineRule="auto"/>
              <w:jc w:val="center"/>
              <w:rPr>
                <w:rFonts w:hint="eastAsia" w:ascii="宋体" w:hAnsi="宋体" w:eastAsia="宋体" w:cs="宋体"/>
                <w:kern w:val="0"/>
                <w:sz w:val="21"/>
                <w:szCs w:val="21"/>
                <w:lang w:val="en-US" w:eastAsia="zh-Hans"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A96DA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22C038">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bl>
    <w:p w14:paraId="3D3ED0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BBA66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48BC9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18767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58757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D50AD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DB1C5D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24D38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21AB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870E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7A2DCE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5F70E2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4057CA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B262A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FE74E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4BE169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20FDF7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7171AF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BB8AF3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7DC9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70" w:type="dxa"/>
        <w:tblInd w:w="108" w:type="dxa"/>
        <w:tblLayout w:type="fixed"/>
        <w:tblCellMar>
          <w:top w:w="0" w:type="dxa"/>
          <w:left w:w="0" w:type="dxa"/>
          <w:bottom w:w="0" w:type="dxa"/>
          <w:right w:w="0" w:type="dxa"/>
        </w:tblCellMar>
      </w:tblPr>
      <w:tblGrid>
        <w:gridCol w:w="528"/>
        <w:gridCol w:w="1701"/>
        <w:gridCol w:w="6341"/>
      </w:tblGrid>
      <w:tr w14:paraId="7205CB6F">
        <w:tblPrEx>
          <w:tblCellMar>
            <w:top w:w="0" w:type="dxa"/>
            <w:left w:w="0" w:type="dxa"/>
            <w:bottom w:w="0" w:type="dxa"/>
            <w:right w:w="0" w:type="dxa"/>
          </w:tblCellMar>
        </w:tblPrEx>
        <w:trPr>
          <w:trHeight w:val="976"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C6D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评审因素</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0BC1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评分标准</w:t>
            </w:r>
          </w:p>
        </w:tc>
      </w:tr>
      <w:tr w14:paraId="38D705A7">
        <w:tblPrEx>
          <w:tblCellMar>
            <w:top w:w="0" w:type="dxa"/>
            <w:left w:w="0" w:type="dxa"/>
            <w:bottom w:w="0" w:type="dxa"/>
            <w:right w:w="0" w:type="dxa"/>
          </w:tblCellMar>
        </w:tblPrEx>
        <w:trPr>
          <w:trHeight w:val="1415"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83B2">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分值构成</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D8AC">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 xml:space="preserve">1、报价得分  </w:t>
            </w:r>
            <w:r>
              <w:rPr>
                <w:rFonts w:hint="eastAsia" w:ascii="宋体" w:hAnsi="宋体" w:eastAsia="宋体"/>
                <w:b w:val="0"/>
                <w:w w:val="100"/>
                <w:sz w:val="21"/>
                <w:lang w:val="en-US" w:eastAsia="zh-CN"/>
              </w:rPr>
              <w:t>56</w:t>
            </w:r>
            <w:r>
              <w:rPr>
                <w:rFonts w:ascii="宋体" w:hAnsi="宋体" w:eastAsia="宋体"/>
                <w:b w:val="0"/>
                <w:w w:val="100"/>
                <w:sz w:val="21"/>
              </w:rPr>
              <w:t>分；</w:t>
            </w:r>
          </w:p>
          <w:p w14:paraId="3CD5DD68">
            <w:pPr>
              <w:widowControl/>
              <w:autoSpaceDE/>
              <w:autoSpaceDN/>
              <w:snapToGrid/>
              <w:spacing w:before="0" w:after="0" w:line="240" w:lineRule="auto"/>
              <w:ind w:left="0" w:firstLine="0"/>
              <w:jc w:val="left"/>
              <w:rPr>
                <w:rFonts w:ascii="宋体" w:hAnsi="Calibri" w:eastAsia="宋体"/>
                <w:b w:val="0"/>
                <w:w w:val="100"/>
                <w:sz w:val="21"/>
              </w:rPr>
            </w:pPr>
            <w:r>
              <w:rPr>
                <w:rFonts w:hint="eastAsia" w:ascii="宋体" w:hAnsi="宋体" w:eastAsia="宋体"/>
                <w:b w:val="0"/>
                <w:w w:val="100"/>
                <w:sz w:val="21"/>
                <w:lang w:val="en-US" w:eastAsia="zh-CN"/>
              </w:rPr>
              <w:t>2</w:t>
            </w:r>
            <w:r>
              <w:rPr>
                <w:rFonts w:ascii="宋体" w:hAnsi="宋体" w:eastAsia="宋体"/>
                <w:b w:val="0"/>
                <w:w w:val="100"/>
                <w:sz w:val="21"/>
              </w:rPr>
              <w:t>、技术部分 </w:t>
            </w:r>
            <w:r>
              <w:rPr>
                <w:rFonts w:hint="eastAsia" w:ascii="宋体" w:hAnsi="宋体" w:eastAsia="宋体"/>
                <w:b w:val="0"/>
                <w:w w:val="100"/>
                <w:sz w:val="21"/>
                <w:lang w:val="en-US" w:eastAsia="zh-CN"/>
              </w:rPr>
              <w:t>44</w:t>
            </w:r>
            <w:r>
              <w:rPr>
                <w:rFonts w:ascii="宋体" w:hAnsi="宋体" w:eastAsia="宋体"/>
                <w:b w:val="0"/>
                <w:w w:val="100"/>
                <w:sz w:val="21"/>
              </w:rPr>
              <w:t>分。</w:t>
            </w:r>
          </w:p>
        </w:tc>
      </w:tr>
      <w:tr w14:paraId="013DB7C3">
        <w:tblPrEx>
          <w:tblCellMar>
            <w:top w:w="0" w:type="dxa"/>
            <w:left w:w="0" w:type="dxa"/>
            <w:bottom w:w="0" w:type="dxa"/>
            <w:right w:w="0" w:type="dxa"/>
          </w:tblCellMar>
        </w:tblPrEx>
        <w:trPr>
          <w:trHeight w:val="1404" w:hRule="atLeast"/>
        </w:trPr>
        <w:tc>
          <w:tcPr>
            <w:tcW w:w="52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A03CB">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w:t>
            </w:r>
          </w:p>
        </w:tc>
        <w:tc>
          <w:tcPr>
            <w:tcW w:w="170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86EC5">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评标基准价确定方法</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3869">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满足招标文件要求通过初步评审的且投标报价最低的为评标基准价。</w:t>
            </w:r>
          </w:p>
        </w:tc>
      </w:tr>
      <w:tr w14:paraId="239BE73C">
        <w:tblPrEx>
          <w:tblCellMar>
            <w:top w:w="0" w:type="dxa"/>
            <w:left w:w="0" w:type="dxa"/>
            <w:bottom w:w="0" w:type="dxa"/>
            <w:right w:w="0" w:type="dxa"/>
          </w:tblCellMar>
        </w:tblPrEx>
        <w:trPr>
          <w:trHeight w:val="1392" w:hRule="atLeast"/>
        </w:trPr>
        <w:tc>
          <w:tcPr>
            <w:tcW w:w="52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13935">
            <w:pPr>
              <w:widowControl/>
              <w:autoSpaceDE/>
              <w:autoSpaceDN/>
              <w:snapToGrid/>
              <w:spacing w:before="0" w:after="0" w:line="240" w:lineRule="auto"/>
              <w:ind w:left="0" w:firstLine="0"/>
              <w:jc w:val="left"/>
              <w:rPr>
                <w:rFonts w:ascii="宋体" w:hAnsi="Calibri" w:eastAsia="宋体"/>
                <w:b w:val="0"/>
                <w:w w:val="100"/>
                <w:sz w:val="21"/>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5A3E9">
            <w:pPr>
              <w:widowControl/>
              <w:autoSpaceDE/>
              <w:autoSpaceDN/>
              <w:snapToGrid w:val="0"/>
              <w:spacing w:before="0" w:after="0" w:line="240" w:lineRule="auto"/>
              <w:ind w:left="0" w:firstLine="0"/>
              <w:jc w:val="center"/>
              <w:rPr>
                <w:rFonts w:ascii="宋体" w:hAnsi="Calibri" w:eastAsia="宋体"/>
                <w:b w:val="0"/>
                <w:w w:val="100"/>
                <w:sz w:val="21"/>
              </w:rPr>
            </w:pPr>
            <w:r>
              <w:rPr>
                <w:rFonts w:ascii="宋体" w:hAnsi="宋体" w:eastAsia="宋体"/>
                <w:b w:val="0"/>
                <w:w w:val="100"/>
                <w:sz w:val="21"/>
              </w:rPr>
              <w:t>投标报价得分（</w:t>
            </w:r>
            <w:r>
              <w:rPr>
                <w:rFonts w:hint="eastAsia" w:ascii="宋体" w:hAnsi="宋体" w:eastAsia="宋体"/>
                <w:b w:val="0"/>
                <w:w w:val="100"/>
                <w:sz w:val="21"/>
                <w:lang w:val="en-US" w:eastAsia="zh-CN"/>
              </w:rPr>
              <w:t>56</w:t>
            </w:r>
            <w:r>
              <w:rPr>
                <w:rFonts w:ascii="宋体" w:hAnsi="宋体" w:eastAsia="宋体"/>
                <w:b w:val="0"/>
                <w:w w:val="100"/>
                <w:sz w:val="21"/>
              </w:rPr>
              <w:t>分）</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180E0">
            <w:pPr>
              <w:widowControl/>
              <w:autoSpaceDE/>
              <w:autoSpaceDN/>
              <w:snapToGrid w:val="0"/>
              <w:spacing w:before="0" w:after="0" w:line="240" w:lineRule="auto"/>
              <w:ind w:left="0" w:firstLine="0"/>
              <w:jc w:val="left"/>
              <w:rPr>
                <w:rFonts w:hint="default" w:ascii="宋体" w:hAnsi="Calibri" w:eastAsia="宋体"/>
                <w:b w:val="0"/>
                <w:w w:val="100"/>
                <w:sz w:val="21"/>
                <w:lang w:val="en-US"/>
              </w:rPr>
            </w:pPr>
            <w:r>
              <w:rPr>
                <w:rFonts w:ascii="宋体" w:hAnsi="宋体" w:eastAsia="宋体"/>
                <w:b w:val="0"/>
                <w:w w:val="100"/>
                <w:sz w:val="21"/>
              </w:rPr>
              <w:t>投标报价得分＝（评标基准价/投标报价）×</w:t>
            </w:r>
            <w:r>
              <w:rPr>
                <w:rFonts w:hint="eastAsia" w:ascii="宋体" w:hAnsi="宋体" w:eastAsia="宋体"/>
                <w:b w:val="0"/>
                <w:w w:val="100"/>
                <w:sz w:val="21"/>
                <w:lang w:val="en-US" w:eastAsia="zh-CN"/>
              </w:rPr>
              <w:t>56</w:t>
            </w:r>
          </w:p>
        </w:tc>
      </w:tr>
      <w:tr w14:paraId="34B0B13E">
        <w:tblPrEx>
          <w:tblCellMar>
            <w:top w:w="0" w:type="dxa"/>
            <w:left w:w="0" w:type="dxa"/>
            <w:bottom w:w="0" w:type="dxa"/>
            <w:right w:w="0" w:type="dxa"/>
          </w:tblCellMar>
        </w:tblPrEx>
        <w:trPr>
          <w:trHeight w:val="2063" w:hRule="atLeast"/>
        </w:trPr>
        <w:tc>
          <w:tcPr>
            <w:tcW w:w="5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3743B">
            <w:pPr>
              <w:widowControl/>
              <w:autoSpaceDE/>
              <w:autoSpaceDN/>
              <w:snapToGrid/>
              <w:spacing w:before="0" w:after="0" w:line="240" w:lineRule="auto"/>
              <w:ind w:left="0" w:firstLine="0"/>
              <w:jc w:val="left"/>
              <w:rPr>
                <w:rFonts w:ascii="宋体" w:hAnsi="宋体" w:eastAsia="宋体"/>
                <w:b w:val="0"/>
                <w:w w:val="100"/>
                <w:sz w:val="21"/>
              </w:rPr>
            </w:pPr>
            <w:r>
              <w:rPr>
                <w:rFonts w:ascii="宋体" w:hAnsi="宋体" w:eastAsia="宋体"/>
                <w:b w:val="0"/>
                <w:w w:val="100"/>
                <w:sz w:val="21"/>
              </w:rPr>
              <w:t>技术部分</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CC78D">
            <w:pPr>
              <w:widowControl/>
              <w:autoSpaceDE/>
              <w:autoSpaceDN/>
              <w:snapToGrid/>
              <w:spacing w:before="0" w:after="0" w:line="240" w:lineRule="auto"/>
              <w:ind w:left="0" w:firstLine="0"/>
              <w:jc w:val="center"/>
              <w:rPr>
                <w:rFonts w:ascii="宋体" w:hAnsi="宋体" w:eastAsia="宋体"/>
                <w:b w:val="0"/>
                <w:color w:val="auto"/>
                <w:w w:val="100"/>
                <w:sz w:val="21"/>
              </w:rPr>
            </w:pPr>
            <w:r>
              <w:rPr>
                <w:rFonts w:ascii="宋体" w:hAnsi="宋体" w:eastAsia="宋体"/>
                <w:b w:val="0"/>
                <w:color w:val="auto"/>
                <w:w w:val="100"/>
                <w:sz w:val="21"/>
              </w:rPr>
              <w:t>一般技术参数（</w:t>
            </w:r>
            <w:r>
              <w:rPr>
                <w:rFonts w:hint="eastAsia" w:ascii="宋体" w:hAnsi="宋体" w:eastAsia="宋体"/>
                <w:b w:val="0"/>
                <w:color w:val="auto"/>
                <w:w w:val="100"/>
                <w:sz w:val="21"/>
                <w:lang w:val="en-US" w:eastAsia="zh-CN"/>
              </w:rPr>
              <w:t>非</w:t>
            </w:r>
            <w:r>
              <w:rPr>
                <w:rFonts w:ascii="宋体" w:hAnsi="宋体" w:eastAsia="宋体"/>
                <w:b w:val="0"/>
                <w:color w:val="auto"/>
                <w:w w:val="100"/>
                <w:sz w:val="21"/>
              </w:rPr>
              <w:t>标“</w:t>
            </w:r>
            <w:r>
              <w:rPr>
                <w:rFonts w:hint="eastAsia" w:ascii="宋体" w:hAnsi="宋体" w:eastAsia="宋体" w:cs="宋体"/>
                <w:kern w:val="0"/>
                <w:sz w:val="21"/>
                <w:szCs w:val="21"/>
              </w:rPr>
              <w:t>★</w:t>
            </w:r>
            <w:r>
              <w:rPr>
                <w:rFonts w:hint="eastAsia" w:ascii="宋体" w:hAnsi="宋体" w:eastAsia="宋体"/>
                <w:b w:val="0"/>
                <w:color w:val="auto"/>
                <w:w w:val="100"/>
                <w:sz w:val="21"/>
                <w:lang w:val="en-US" w:eastAsia="zh-CN"/>
              </w:rPr>
              <w:t>”</w:t>
            </w:r>
            <w:r>
              <w:rPr>
                <w:rFonts w:ascii="宋体" w:hAnsi="宋体" w:eastAsia="宋体"/>
                <w:b w:val="0"/>
                <w:color w:val="auto"/>
                <w:w w:val="100"/>
                <w:sz w:val="21"/>
              </w:rPr>
              <w:t>项）</w:t>
            </w:r>
          </w:p>
          <w:p w14:paraId="5A93E817">
            <w:pPr>
              <w:widowControl/>
              <w:autoSpaceDE/>
              <w:autoSpaceDN/>
              <w:snapToGrid/>
              <w:spacing w:before="0" w:after="0" w:line="240" w:lineRule="auto"/>
              <w:ind w:left="0" w:leftChars="0" w:firstLine="0" w:firstLineChars="0"/>
              <w:jc w:val="center"/>
              <w:rPr>
                <w:rFonts w:ascii="宋体" w:hAnsi="宋体" w:eastAsia="宋体" w:cstheme="minorBidi"/>
                <w:b w:val="0"/>
                <w:color w:val="auto"/>
                <w:w w:val="100"/>
                <w:kern w:val="2"/>
                <w:sz w:val="21"/>
                <w:szCs w:val="22"/>
                <w:lang w:val="en-US" w:eastAsia="zh-CN" w:bidi="ar-SA"/>
              </w:rPr>
            </w:pPr>
            <w:r>
              <w:rPr>
                <w:rFonts w:ascii="宋体" w:hAnsi="宋体" w:eastAsia="宋体"/>
                <w:b w:val="0"/>
                <w:color w:val="auto"/>
                <w:w w:val="100"/>
                <w:sz w:val="21"/>
              </w:rPr>
              <w:t>（</w:t>
            </w:r>
            <w:r>
              <w:rPr>
                <w:rFonts w:hint="eastAsia" w:ascii="宋体" w:hAnsi="宋体" w:eastAsia="宋体"/>
                <w:b w:val="0"/>
                <w:color w:val="auto"/>
                <w:w w:val="100"/>
                <w:sz w:val="21"/>
                <w:lang w:val="en-US" w:eastAsia="zh-CN"/>
              </w:rPr>
              <w:t>44</w:t>
            </w:r>
            <w:r>
              <w:rPr>
                <w:rFonts w:ascii="宋体" w:hAnsi="宋体" w:eastAsia="宋体"/>
                <w:b w:val="0"/>
                <w:color w:val="auto"/>
                <w:w w:val="100"/>
                <w:sz w:val="21"/>
              </w:rPr>
              <w:t>分）</w:t>
            </w:r>
          </w:p>
        </w:tc>
        <w:tc>
          <w:tcPr>
            <w:tcW w:w="6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DB3CF">
            <w:pPr>
              <w:widowControl/>
              <w:autoSpaceDE/>
              <w:autoSpaceDN/>
              <w:snapToGrid/>
              <w:spacing w:before="0" w:after="0" w:line="240" w:lineRule="auto"/>
              <w:ind w:left="0" w:leftChars="0" w:firstLine="0" w:firstLineChars="0"/>
              <w:jc w:val="left"/>
              <w:rPr>
                <w:rFonts w:ascii="宋体" w:hAnsi="宋体" w:eastAsia="宋体" w:cstheme="minorBidi"/>
                <w:b w:val="0"/>
                <w:w w:val="100"/>
                <w:kern w:val="2"/>
                <w:sz w:val="21"/>
                <w:szCs w:val="22"/>
                <w:lang w:val="en-US" w:eastAsia="zh-CN" w:bidi="ar-SA"/>
              </w:rPr>
            </w:pPr>
            <w:r>
              <w:rPr>
                <w:rFonts w:ascii="宋体" w:hAnsi="宋体" w:eastAsia="宋体"/>
                <w:b w:val="0"/>
                <w:w w:val="100"/>
                <w:sz w:val="21"/>
              </w:rPr>
              <w:t>所有产品一般技术参数指标（非</w:t>
            </w:r>
            <w:r>
              <w:rPr>
                <w:rFonts w:hint="eastAsia" w:ascii="宋体" w:hAnsi="宋体" w:eastAsia="宋体"/>
                <w:b w:val="0"/>
                <w:w w:val="100"/>
                <w:sz w:val="21"/>
                <w:lang w:val="en-US" w:eastAsia="zh-CN"/>
              </w:rPr>
              <w:t>标</w:t>
            </w:r>
            <w:r>
              <w:rPr>
                <w:rFonts w:ascii="宋体" w:hAnsi="宋体" w:eastAsia="宋体"/>
                <w:b w:val="0"/>
                <w:w w:val="100"/>
                <w:sz w:val="21"/>
              </w:rPr>
              <w:t>“</w:t>
            </w:r>
            <w:r>
              <w:rPr>
                <w:rFonts w:hint="eastAsia" w:ascii="宋体" w:hAnsi="宋体" w:eastAsia="宋体" w:cs="宋体"/>
                <w:kern w:val="0"/>
                <w:sz w:val="21"/>
                <w:szCs w:val="21"/>
              </w:rPr>
              <w:t>★</w:t>
            </w:r>
            <w:r>
              <w:rPr>
                <w:rFonts w:hint="eastAsia" w:ascii="宋体" w:hAnsi="宋体" w:eastAsia="宋体"/>
                <w:b w:val="0"/>
                <w:w w:val="100"/>
                <w:sz w:val="21"/>
                <w:lang w:val="en-US" w:eastAsia="zh-CN"/>
              </w:rPr>
              <w:t>”</w:t>
            </w:r>
            <w:r>
              <w:rPr>
                <w:rFonts w:ascii="宋体" w:hAnsi="宋体" w:eastAsia="宋体"/>
                <w:b w:val="0"/>
                <w:w w:val="100"/>
                <w:sz w:val="21"/>
              </w:rPr>
              <w:t>项）</w:t>
            </w:r>
            <w:r>
              <w:rPr>
                <w:rFonts w:hint="eastAsia" w:ascii="宋体" w:hAnsi="宋体" w:eastAsia="宋体"/>
                <w:b w:val="0"/>
                <w:w w:val="100"/>
                <w:sz w:val="21"/>
                <w:lang w:val="en-US" w:eastAsia="zh-CN"/>
              </w:rPr>
              <w:t>共22项，完全响应</w:t>
            </w:r>
            <w:r>
              <w:rPr>
                <w:rFonts w:ascii="宋体" w:hAnsi="宋体" w:eastAsia="宋体"/>
                <w:b w:val="0"/>
                <w:w w:val="100"/>
                <w:sz w:val="21"/>
              </w:rPr>
              <w:t>招标文件要求的得</w:t>
            </w:r>
            <w:r>
              <w:rPr>
                <w:rFonts w:hint="eastAsia" w:ascii="宋体" w:hAnsi="宋体" w:eastAsia="宋体"/>
                <w:b w:val="0"/>
                <w:w w:val="100"/>
                <w:sz w:val="21"/>
                <w:lang w:val="en-US" w:eastAsia="zh-CN"/>
              </w:rPr>
              <w:t>44</w:t>
            </w:r>
            <w:r>
              <w:rPr>
                <w:rFonts w:ascii="宋体" w:hAnsi="宋体" w:eastAsia="宋体"/>
                <w:b w:val="0"/>
                <w:w w:val="100"/>
                <w:sz w:val="21"/>
              </w:rPr>
              <w:t>分，每有一项不满足或负偏离扣</w:t>
            </w:r>
            <w:r>
              <w:rPr>
                <w:rFonts w:hint="eastAsia" w:ascii="宋体" w:hAnsi="宋体" w:eastAsia="宋体"/>
                <w:b w:val="0"/>
                <w:w w:val="100"/>
                <w:sz w:val="21"/>
                <w:lang w:val="en-US" w:eastAsia="zh-CN"/>
              </w:rPr>
              <w:t>的2</w:t>
            </w:r>
            <w:r>
              <w:rPr>
                <w:rFonts w:ascii="宋体" w:hAnsi="宋体" w:eastAsia="宋体"/>
                <w:b w:val="0"/>
                <w:w w:val="100"/>
                <w:sz w:val="21"/>
              </w:rPr>
              <w:t>分</w:t>
            </w:r>
            <w:r>
              <w:rPr>
                <w:rFonts w:hint="eastAsia" w:ascii="宋体" w:hAnsi="宋体" w:eastAsia="宋体"/>
                <w:b w:val="0"/>
                <w:w w:val="100"/>
                <w:sz w:val="21"/>
                <w:lang w:eastAsia="zh-CN"/>
              </w:rPr>
              <w:t>，</w:t>
            </w:r>
            <w:r>
              <w:rPr>
                <w:rFonts w:ascii="宋体" w:hAnsi="宋体" w:eastAsia="宋体"/>
                <w:b w:val="0"/>
                <w:w w:val="100"/>
                <w:sz w:val="21"/>
              </w:rPr>
              <w:t>分值扣完为止。</w:t>
            </w:r>
          </w:p>
        </w:tc>
      </w:tr>
    </w:tbl>
    <w:p w14:paraId="110313A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9C7878"/>
    <w:rsid w:val="05076A5B"/>
    <w:rsid w:val="06816E75"/>
    <w:rsid w:val="06B07F83"/>
    <w:rsid w:val="07EE0F70"/>
    <w:rsid w:val="080A65A2"/>
    <w:rsid w:val="081B095A"/>
    <w:rsid w:val="08C1733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A783AB0"/>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7514</Words>
  <Characters>8491</Characters>
  <Lines>0</Lines>
  <Paragraphs>0</Paragraphs>
  <TotalTime>2</TotalTime>
  <ScaleCrop>false</ScaleCrop>
  <LinksUpToDate>false</LinksUpToDate>
  <CharactersWithSpaces>9042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2026-07-14T07:12:06Z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77D43916500D4B48BF859483CDC58440_13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