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2050D00">
      <w:pPr>
        <w:pStyle w:val="10"/>
        <w:pBdr>
          <w:top w:val="none" w:color="000000" w:sz="0" w:space="0"/>
          <w:left w:val="none" w:color="000000" w:sz="0" w:space="0"/>
          <w:bottom w:val="none" w:color="000000" w:sz="0" w:space="0"/>
          <w:right w:val="none" w:color="000000" w:sz="0" w:space="0"/>
        </w:pBdr>
        <w:spacing w:before="0" w:after="150" w:line="420" w:lineRule="atLeast"/>
        <w:ind w:right="450"/>
        <w:jc w:val="center"/>
        <w:rPr>
          <w:rFonts w:hint="eastAsia" w:ascii="宋体" w:hAnsi="宋体" w:eastAsia="宋体" w:cs="宋体"/>
          <w:b/>
          <w:i w:val="0"/>
          <w:caps/>
          <w:color w:val="333333"/>
          <w:spacing w:val="0"/>
          <w:sz w:val="40"/>
          <w:szCs w:val="40"/>
          <w:lang w:val="en-US" w:eastAsia="zh-CN"/>
        </w:rPr>
      </w:pPr>
      <w:r>
        <w:rPr>
          <w:rFonts w:hint="eastAsia" w:ascii="宋体" w:hAnsi="宋体" w:eastAsia="宋体" w:cs="宋体"/>
          <w:b/>
          <w:i w:val="0"/>
          <w:caps/>
          <w:color w:val="333333"/>
          <w:spacing w:val="0"/>
          <w:sz w:val="36"/>
          <w:szCs w:val="36"/>
          <w:lang w:val="en-US" w:eastAsia="zh-CN"/>
        </w:rPr>
        <w:t>东康两部杀毒软件服务项目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2026年7月30</w:t>
      </w:r>
      <w:bookmarkStart w:id="1" w:name="_GoBack"/>
      <w:bookmarkEnd w:id="1"/>
      <w:r>
        <w:rPr>
          <w:rFonts w:hint="eastAsia" w:ascii="宋体" w:hAnsi="宋体" w:eastAsia="宋体" w:cs="宋体"/>
          <w:b/>
          <w:bCs/>
          <w:sz w:val="36"/>
          <w:szCs w:val="36"/>
          <w:lang w:val="en-US" w:eastAsia="zh-CN"/>
        </w:rPr>
        <w:t>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66"/>
        <w:gridCol w:w="17"/>
        <w:gridCol w:w="1650"/>
      </w:tblGrid>
      <w:tr w14:paraId="64415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979349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09C8FF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3866F9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4EE88A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66" w:type="dxa"/>
            <w:vAlign w:val="center"/>
          </w:tcPr>
          <w:p w14:paraId="5DD529F6">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67" w:type="dxa"/>
            <w:gridSpan w:val="2"/>
            <w:vAlign w:val="center"/>
          </w:tcPr>
          <w:p w14:paraId="4B34CFF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0089C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59BC4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791AD9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东康两部杀毒软件服务</w:t>
            </w:r>
            <w:r>
              <w:rPr>
                <w:rFonts w:hint="eastAsia" w:ascii="宋体" w:hAnsi="宋体" w:eastAsia="宋体"/>
                <w:sz w:val="28"/>
                <w:szCs w:val="28"/>
                <w:lang w:val="en-US" w:eastAsia="zh-CN"/>
              </w:rPr>
              <w:t>项目</w:t>
            </w:r>
          </w:p>
        </w:tc>
        <w:tc>
          <w:tcPr>
            <w:tcW w:w="1200" w:type="dxa"/>
            <w:vAlign w:val="center"/>
          </w:tcPr>
          <w:p w14:paraId="125D519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点位</w:t>
            </w:r>
          </w:p>
        </w:tc>
        <w:tc>
          <w:tcPr>
            <w:tcW w:w="1079" w:type="dxa"/>
            <w:vAlign w:val="center"/>
          </w:tcPr>
          <w:p w14:paraId="29A1C96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w:t>
            </w:r>
          </w:p>
        </w:tc>
        <w:tc>
          <w:tcPr>
            <w:tcW w:w="1666" w:type="dxa"/>
            <w:vAlign w:val="center"/>
          </w:tcPr>
          <w:p w14:paraId="7365178D">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w:t>
            </w:r>
          </w:p>
        </w:tc>
        <w:tc>
          <w:tcPr>
            <w:tcW w:w="1667" w:type="dxa"/>
            <w:gridSpan w:val="2"/>
            <w:vAlign w:val="center"/>
          </w:tcPr>
          <w:p w14:paraId="3B852CF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105000</w:t>
            </w:r>
          </w:p>
        </w:tc>
      </w:tr>
      <w:tr w14:paraId="7F334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8B90C1">
            <w:pPr>
              <w:widowControl/>
              <w:jc w:val="center"/>
              <w:textAlignment w:val="center"/>
              <w:rPr>
                <w:rFonts w:hint="eastAsia" w:ascii="宋体" w:hAnsi="宋体" w:eastAsia="宋体" w:cs="宋体"/>
                <w:kern w:val="0"/>
                <w:sz w:val="28"/>
                <w:szCs w:val="28"/>
                <w:lang w:val="en-US" w:eastAsia="zh-CN"/>
              </w:rPr>
            </w:pPr>
          </w:p>
        </w:tc>
        <w:tc>
          <w:tcPr>
            <w:tcW w:w="6926" w:type="dxa"/>
            <w:gridSpan w:val="5"/>
            <w:vAlign w:val="center"/>
          </w:tcPr>
          <w:p w14:paraId="24727B3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407AE4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105000</w:t>
            </w:r>
          </w:p>
        </w:tc>
      </w:tr>
      <w:tr w14:paraId="2194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C263B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1FFCA53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5"/>
            <w:vAlign w:val="center"/>
          </w:tcPr>
          <w:p w14:paraId="2E7512F0">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合同签订后1个月</w:t>
            </w:r>
          </w:p>
        </w:tc>
      </w:tr>
      <w:tr w14:paraId="1CD37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A1A033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F7CC65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服务期</w:t>
            </w:r>
          </w:p>
        </w:tc>
        <w:tc>
          <w:tcPr>
            <w:tcW w:w="5612" w:type="dxa"/>
            <w:gridSpan w:val="5"/>
            <w:vAlign w:val="center"/>
          </w:tcPr>
          <w:p w14:paraId="2C635C51">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本次招标有效期为三年，合同一年一签，合同有效期为自合同签订之日起1年，（合同签订实行考核制度，合同期末由业主单位对中标单位进行考核，如考核合格，双方协商同意按中标价格续签下一年服务合同，如考核不合格，取消或终止合同）。</w:t>
            </w:r>
          </w:p>
        </w:tc>
      </w:tr>
      <w:tr w14:paraId="26A0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8" w:hRule="atLeast"/>
          <w:jc w:val="center"/>
        </w:trPr>
        <w:tc>
          <w:tcPr>
            <w:tcW w:w="1091" w:type="dxa"/>
            <w:vAlign w:val="center"/>
          </w:tcPr>
          <w:p w14:paraId="7511337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0A98C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5"/>
            <w:vAlign w:val="center"/>
          </w:tcPr>
          <w:p w14:paraId="3F445B34">
            <w:pPr>
              <w:widowControl/>
              <w:jc w:val="both"/>
              <w:textAlignment w:val="center"/>
              <w:rPr>
                <w:rFonts w:hint="default" w:ascii="宋体" w:hAnsi="宋体" w:eastAsia="宋体" w:cs="宋体"/>
                <w:kern w:val="0"/>
                <w:sz w:val="28"/>
                <w:szCs w:val="28"/>
                <w:lang w:val="en-US" w:eastAsia="zh-CN"/>
              </w:rPr>
            </w:pPr>
            <w:r>
              <w:rPr>
                <w:rFonts w:hint="eastAsia" w:ascii="仿宋_GB2312" w:hAnsi="仿宋_GB2312" w:eastAsia="仿宋_GB2312" w:cs="仿宋_GB2312"/>
                <w:color w:val="000000"/>
                <w:kern w:val="0"/>
                <w:sz w:val="32"/>
                <w:szCs w:val="32"/>
                <w:lang w:val="en-US" w:eastAsia="zh-CN"/>
              </w:rPr>
              <w:t>软件安装且正常使用并按要求授权后付全款</w:t>
            </w:r>
          </w:p>
        </w:tc>
      </w:tr>
      <w:tr w14:paraId="52B65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166BE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416975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5"/>
            <w:vAlign w:val="center"/>
          </w:tcPr>
          <w:p w14:paraId="14A621F1">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1年</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自验收合格之日起算</w:t>
            </w:r>
            <w:r>
              <w:rPr>
                <w:rFonts w:hint="eastAsia" w:ascii="仿宋_GB2312" w:hAnsi="仿宋_GB2312" w:eastAsia="仿宋_GB2312" w:cs="仿宋_GB2312"/>
                <w:kern w:val="0"/>
                <w:sz w:val="32"/>
                <w:szCs w:val="32"/>
                <w:lang w:eastAsia="zh-CN"/>
              </w:rPr>
              <w:t>）</w:t>
            </w:r>
          </w:p>
        </w:tc>
      </w:tr>
      <w:tr w14:paraId="6B2F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4EE6605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7BC319D2">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5"/>
            <w:vAlign w:val="center"/>
          </w:tcPr>
          <w:p w14:paraId="26B7EEF3">
            <w:pPr>
              <w:widowControl/>
              <w:jc w:val="center"/>
              <w:textAlignment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投标人须提供近三年内（2023年7月1日至今）3个医院同类项目的成功案例（提供合同复印或扫描件）</w:t>
            </w:r>
          </w:p>
        </w:tc>
      </w:tr>
    </w:tbl>
    <w:p w14:paraId="6E4C0A80">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lang w:val="en-US" w:eastAsia="zh-CN"/>
        </w:rPr>
        <w:t>项目要求</w:t>
      </w:r>
    </w:p>
    <w:p w14:paraId="7249BFA7">
      <w:pPr>
        <w:spacing w:line="360" w:lineRule="auto"/>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附件1：</w:t>
      </w:r>
      <w:r>
        <w:rPr>
          <w:rFonts w:hint="eastAsia" w:ascii="仿宋_GB2312" w:hAnsi="仿宋_GB2312" w:eastAsia="仿宋_GB2312" w:cs="仿宋_GB2312"/>
          <w:b/>
          <w:bCs/>
          <w:sz w:val="32"/>
          <w:szCs w:val="32"/>
        </w:rPr>
        <w:t>技术参数和要求（功能和质量）</w:t>
      </w:r>
    </w:p>
    <w:tbl>
      <w:tblPr>
        <w:tblStyle w:val="11"/>
        <w:tblW w:w="9095" w:type="dxa"/>
        <w:jc w:val="center"/>
        <w:tblLayout w:type="fixed"/>
        <w:tblCellMar>
          <w:top w:w="0" w:type="dxa"/>
          <w:left w:w="108" w:type="dxa"/>
          <w:bottom w:w="0" w:type="dxa"/>
          <w:right w:w="108" w:type="dxa"/>
        </w:tblCellMar>
      </w:tblPr>
      <w:tblGrid>
        <w:gridCol w:w="1052"/>
        <w:gridCol w:w="1023"/>
        <w:gridCol w:w="7020"/>
      </w:tblGrid>
      <w:tr w14:paraId="07BC8686">
        <w:tblPrEx>
          <w:tblCellMar>
            <w:top w:w="0" w:type="dxa"/>
            <w:left w:w="108" w:type="dxa"/>
            <w:bottom w:w="0" w:type="dxa"/>
            <w:right w:w="108" w:type="dxa"/>
          </w:tblCellMar>
        </w:tblPrEx>
        <w:trPr>
          <w:trHeight w:val="90"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E7BA1DC">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参数性</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质</w:t>
            </w:r>
          </w:p>
        </w:tc>
        <w:tc>
          <w:tcPr>
            <w:tcW w:w="1023" w:type="dxa"/>
            <w:tcBorders>
              <w:top w:val="single" w:color="auto" w:sz="4" w:space="0"/>
              <w:left w:val="nil"/>
              <w:bottom w:val="single" w:color="auto" w:sz="4" w:space="0"/>
              <w:right w:val="single" w:color="auto" w:sz="4" w:space="0"/>
            </w:tcBorders>
            <w:noWrap w:val="0"/>
            <w:vAlign w:val="center"/>
          </w:tcPr>
          <w:p w14:paraId="7F130FDA">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编号</w:t>
            </w:r>
          </w:p>
        </w:tc>
        <w:tc>
          <w:tcPr>
            <w:tcW w:w="7020" w:type="dxa"/>
            <w:tcBorders>
              <w:top w:val="single" w:color="auto" w:sz="4" w:space="0"/>
              <w:left w:val="nil"/>
              <w:bottom w:val="single" w:color="auto" w:sz="4" w:space="0"/>
              <w:right w:val="single" w:color="auto" w:sz="4" w:space="0"/>
            </w:tcBorders>
            <w:noWrap w:val="0"/>
            <w:vAlign w:val="center"/>
          </w:tcPr>
          <w:p w14:paraId="415CC03D">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技术参数和要求</w:t>
            </w:r>
          </w:p>
        </w:tc>
      </w:tr>
      <w:tr w14:paraId="7A5A274F">
        <w:tblPrEx>
          <w:tblCellMar>
            <w:top w:w="0" w:type="dxa"/>
            <w:left w:w="108" w:type="dxa"/>
            <w:bottom w:w="0" w:type="dxa"/>
            <w:right w:w="108" w:type="dxa"/>
          </w:tblCellMar>
        </w:tblPrEx>
        <w:trPr>
          <w:trHeight w:val="68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FC9B08D">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B44961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7020" w:type="dxa"/>
            <w:tcBorders>
              <w:top w:val="single" w:color="auto" w:sz="4" w:space="0"/>
              <w:left w:val="nil"/>
              <w:bottom w:val="single" w:color="auto" w:sz="4" w:space="0"/>
              <w:right w:val="single" w:color="auto" w:sz="4" w:space="0"/>
            </w:tcBorders>
            <w:noWrap w:val="0"/>
            <w:vAlign w:val="center"/>
          </w:tcPr>
          <w:p w14:paraId="7B6E63C5">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w:t>
            </w:r>
            <w:r>
              <w:rPr>
                <w:rFonts w:hint="default" w:ascii="仿宋_GB2312" w:hAnsi="仿宋_GB2312" w:eastAsia="仿宋_GB2312" w:cs="仿宋_GB2312"/>
                <w:b/>
                <w:bCs/>
                <w:sz w:val="28"/>
                <w:szCs w:val="28"/>
                <w:lang w:val="en-US" w:eastAsia="zh-CN"/>
              </w:rPr>
              <w:t>兼容性与环境支持</w:t>
            </w:r>
            <w:r>
              <w:rPr>
                <w:rFonts w:hint="eastAsia" w:ascii="仿宋_GB2312" w:hAnsi="仿宋_GB2312" w:eastAsia="仿宋_GB2312" w:cs="仿宋_GB2312"/>
                <w:b/>
                <w:bCs/>
                <w:sz w:val="28"/>
                <w:szCs w:val="28"/>
                <w:lang w:val="en-US" w:eastAsia="zh-CN"/>
              </w:rPr>
              <w:t>（编号2至4）</w:t>
            </w:r>
          </w:p>
        </w:tc>
      </w:tr>
      <w:tr w14:paraId="22CD19B7">
        <w:tblPrEx>
          <w:tblCellMar>
            <w:top w:w="0" w:type="dxa"/>
            <w:left w:w="108" w:type="dxa"/>
            <w:bottom w:w="0" w:type="dxa"/>
            <w:right w:w="108" w:type="dxa"/>
          </w:tblCellMar>
        </w:tblPrEx>
        <w:trPr>
          <w:trHeight w:val="90"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0C9D07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313B81A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020" w:type="dxa"/>
            <w:tcBorders>
              <w:top w:val="single" w:color="auto" w:sz="4" w:space="0"/>
              <w:left w:val="nil"/>
              <w:bottom w:val="single" w:color="auto" w:sz="4" w:space="0"/>
              <w:right w:val="single" w:color="auto" w:sz="4" w:space="0"/>
            </w:tcBorders>
            <w:noWrap w:val="0"/>
            <w:vAlign w:val="center"/>
          </w:tcPr>
          <w:p w14:paraId="660F4A42">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1.1操作系统兼容性</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客户端须支持以下操作系统</w:t>
            </w:r>
            <w:r>
              <w:rPr>
                <w:rFonts w:hint="default" w:ascii="仿宋_GB2312" w:hAnsi="仿宋_GB2312" w:eastAsia="仿宋_GB2312" w:cs="仿宋_GB2312"/>
                <w:sz w:val="28"/>
                <w:szCs w:val="28"/>
                <w:lang w:val="en-US" w:eastAsia="zh-CN"/>
              </w:rPr>
              <w:br w:type="textWrapping"/>
            </w:r>
            <w:r>
              <w:rPr>
                <w:rFonts w:hint="default" w:ascii="仿宋_GB2312" w:hAnsi="仿宋_GB2312" w:eastAsia="仿宋_GB2312" w:cs="仿宋_GB2312"/>
                <w:sz w:val="28"/>
                <w:szCs w:val="28"/>
                <w:lang w:val="en-US" w:eastAsia="zh-CN"/>
              </w:rPr>
              <w:t>Windows ：Windows 7 SP1及以上、Windows 10/11</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Windows Server 2008 R2/2012/2016/2019/2022（含64位）。</w:t>
            </w:r>
            <w:r>
              <w:rPr>
                <w:rFonts w:hint="default" w:ascii="仿宋_GB2312" w:hAnsi="仿宋_GB2312" w:eastAsia="仿宋_GB2312" w:cs="仿宋_GB2312"/>
                <w:sz w:val="28"/>
                <w:szCs w:val="28"/>
                <w:lang w:val="en-US" w:eastAsia="zh-CN"/>
              </w:rPr>
              <w:br w:type="textWrapping"/>
            </w:r>
            <w:r>
              <w:rPr>
                <w:rFonts w:hint="default" w:ascii="仿宋_GB2312" w:hAnsi="仿宋_GB2312" w:eastAsia="仿宋_GB2312" w:cs="仿宋_GB2312"/>
                <w:sz w:val="28"/>
                <w:szCs w:val="28"/>
                <w:lang w:val="en-US" w:eastAsia="zh-CN"/>
              </w:rPr>
              <w:t>Linux：支持CentOS、RedHat、Ubuntu、SUSE等主流发行版。</w:t>
            </w:r>
            <w:r>
              <w:rPr>
                <w:rFonts w:hint="default" w:ascii="仿宋_GB2312" w:hAnsi="仿宋_GB2312" w:eastAsia="仿宋_GB2312" w:cs="仿宋_GB2312"/>
                <w:sz w:val="28"/>
                <w:szCs w:val="28"/>
                <w:lang w:val="en-US" w:eastAsia="zh-CN"/>
              </w:rPr>
              <w:br w:type="textWrapping"/>
            </w:r>
            <w:r>
              <w:rPr>
                <w:rFonts w:hint="default" w:ascii="仿宋_GB2312" w:hAnsi="仿宋_GB2312" w:eastAsia="仿宋_GB2312" w:cs="仿宋_GB2312"/>
                <w:sz w:val="28"/>
                <w:szCs w:val="28"/>
                <w:lang w:val="en-US" w:eastAsia="zh-CN"/>
              </w:rPr>
              <w:t>国产系统：支持银河麒麟、统信UOS等国产操作系统，适配飞腾、鲲鹏、龙芯等CPU架构。（提供产品说明书）</w:t>
            </w:r>
          </w:p>
        </w:tc>
      </w:tr>
      <w:tr w14:paraId="0A2A24EA">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A80B0FB">
            <w:pPr>
              <w:jc w:val="center"/>
              <w:rPr>
                <w:rFonts w:hint="eastAsia" w:ascii="仿宋_GB2312" w:hAnsi="仿宋_GB2312" w:eastAsia="仿宋_GB2312" w:cs="仿宋_GB2312"/>
                <w:sz w:val="28"/>
                <w:szCs w:val="28"/>
                <w:lang w:eastAsia="zh-CN"/>
              </w:rPr>
            </w:pPr>
          </w:p>
        </w:tc>
        <w:tc>
          <w:tcPr>
            <w:tcW w:w="1023" w:type="dxa"/>
            <w:tcBorders>
              <w:top w:val="single" w:color="auto" w:sz="4" w:space="0"/>
              <w:left w:val="nil"/>
              <w:bottom w:val="single" w:color="auto" w:sz="4" w:space="0"/>
              <w:right w:val="single" w:color="auto" w:sz="4" w:space="0"/>
            </w:tcBorders>
            <w:noWrap w:val="0"/>
            <w:vAlign w:val="center"/>
          </w:tcPr>
          <w:p w14:paraId="61C80C24">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7020" w:type="dxa"/>
            <w:tcBorders>
              <w:top w:val="single" w:color="auto" w:sz="4" w:space="0"/>
              <w:left w:val="nil"/>
              <w:bottom w:val="single" w:color="auto" w:sz="4" w:space="0"/>
              <w:right w:val="single" w:color="auto" w:sz="4" w:space="0"/>
            </w:tcBorders>
            <w:noWrap w:val="0"/>
            <w:vAlign w:val="center"/>
          </w:tcPr>
          <w:p w14:paraId="7A255E6A">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1.2</w:t>
            </w:r>
            <w:r>
              <w:rPr>
                <w:rFonts w:hint="default" w:ascii="仿宋_GB2312" w:hAnsi="仿宋_GB2312" w:eastAsia="仿宋_GB2312" w:cs="仿宋_GB2312"/>
                <w:b/>
                <w:bCs/>
                <w:sz w:val="28"/>
                <w:szCs w:val="28"/>
                <w:lang w:val="en-US" w:eastAsia="zh-CN"/>
              </w:rPr>
              <w:t>统一管理：</w:t>
            </w:r>
            <w:r>
              <w:rPr>
                <w:rFonts w:hint="default" w:ascii="仿宋_GB2312" w:hAnsi="仿宋_GB2312" w:eastAsia="仿宋_GB2312" w:cs="仿宋_GB2312"/>
                <w:sz w:val="28"/>
                <w:szCs w:val="28"/>
                <w:lang w:val="en-US" w:eastAsia="zh-CN"/>
              </w:rPr>
              <w:t>提供B/S架构的集中化管理平台，支持通过单一控制台完成策略下发、终端分组、病毒库升级及日志审计等所有管理操作。</w:t>
            </w:r>
          </w:p>
        </w:tc>
      </w:tr>
      <w:tr w14:paraId="1772B9E2">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4347BCA1">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23A27224">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7020" w:type="dxa"/>
            <w:tcBorders>
              <w:top w:val="single" w:color="auto" w:sz="4" w:space="0"/>
              <w:left w:val="nil"/>
              <w:bottom w:val="single" w:color="auto" w:sz="4" w:space="0"/>
              <w:right w:val="single" w:color="auto" w:sz="4" w:space="0"/>
            </w:tcBorders>
            <w:noWrap w:val="0"/>
            <w:vAlign w:val="center"/>
          </w:tcPr>
          <w:p w14:paraId="788E3DDF">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1.3</w:t>
            </w:r>
            <w:r>
              <w:rPr>
                <w:rFonts w:hint="default" w:ascii="仿宋_GB2312" w:hAnsi="仿宋_GB2312" w:eastAsia="仿宋_GB2312" w:cs="仿宋_GB2312"/>
                <w:b/>
                <w:bCs/>
                <w:sz w:val="28"/>
                <w:szCs w:val="28"/>
                <w:lang w:val="en-US" w:eastAsia="zh-CN"/>
              </w:rPr>
              <w:t>低资源占用：</w:t>
            </w:r>
            <w:r>
              <w:rPr>
                <w:rFonts w:hint="default" w:ascii="仿宋_GB2312" w:hAnsi="仿宋_GB2312" w:eastAsia="仿宋_GB2312" w:cs="仿宋_GB2312"/>
                <w:sz w:val="28"/>
                <w:szCs w:val="28"/>
                <w:lang w:val="en-US" w:eastAsia="zh-CN"/>
              </w:rPr>
              <w:t>软件安装后，在日常静态监控状态下，内存平均占用须控制在 50MB 以内，不得明显影响终端运行速度及业务软件响应效率。</w:t>
            </w:r>
          </w:p>
        </w:tc>
      </w:tr>
      <w:tr w14:paraId="3F67A249">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1679EA1">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03B75B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7020" w:type="dxa"/>
            <w:tcBorders>
              <w:top w:val="single" w:color="auto" w:sz="4" w:space="0"/>
              <w:left w:val="nil"/>
              <w:bottom w:val="single" w:color="auto" w:sz="4" w:space="0"/>
              <w:right w:val="single" w:color="auto" w:sz="4" w:space="0"/>
            </w:tcBorders>
            <w:noWrap w:val="0"/>
            <w:vAlign w:val="center"/>
          </w:tcPr>
          <w:p w14:paraId="0BBEF276">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二、管理控制台功能（编号6至12）</w:t>
            </w:r>
          </w:p>
        </w:tc>
      </w:tr>
      <w:tr w14:paraId="38D8BE32">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72CA3291">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591124D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7020" w:type="dxa"/>
            <w:tcBorders>
              <w:top w:val="single" w:color="auto" w:sz="4" w:space="0"/>
              <w:left w:val="nil"/>
              <w:bottom w:val="single" w:color="auto" w:sz="4" w:space="0"/>
              <w:right w:val="single" w:color="auto" w:sz="4" w:space="0"/>
            </w:tcBorders>
            <w:noWrap w:val="0"/>
            <w:vAlign w:val="center"/>
          </w:tcPr>
          <w:p w14:paraId="6EAB2F98">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2.1部署模式：</w:t>
            </w:r>
            <w:r>
              <w:rPr>
                <w:rFonts w:hint="eastAsia" w:ascii="仿宋_GB2312" w:hAnsi="仿宋_GB2312" w:eastAsia="仿宋_GB2312" w:cs="仿宋_GB2312"/>
                <w:sz w:val="28"/>
                <w:szCs w:val="28"/>
                <w:lang w:val="en-US" w:eastAsia="zh-CN"/>
              </w:rPr>
              <w:t>支持 纯内网（离线）环境、互联网环境及混合网络部署。</w:t>
            </w:r>
          </w:p>
        </w:tc>
      </w:tr>
      <w:tr w14:paraId="308B5E57">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FBED16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56E9162">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7020" w:type="dxa"/>
            <w:tcBorders>
              <w:top w:val="single" w:color="auto" w:sz="4" w:space="0"/>
              <w:left w:val="nil"/>
              <w:bottom w:val="single" w:color="auto" w:sz="4" w:space="0"/>
              <w:right w:val="single" w:color="auto" w:sz="4" w:space="0"/>
            </w:tcBorders>
            <w:noWrap w:val="0"/>
            <w:vAlign w:val="center"/>
          </w:tcPr>
          <w:p w14:paraId="0F27E03E">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2.2部署架构：</w:t>
            </w:r>
            <w:r>
              <w:rPr>
                <w:rFonts w:hint="eastAsia" w:ascii="仿宋_GB2312" w:hAnsi="仿宋_GB2312" w:eastAsia="仿宋_GB2312" w:cs="仿宋_GB2312"/>
                <w:sz w:val="28"/>
                <w:szCs w:val="28"/>
                <w:lang w:val="en-US" w:eastAsia="zh-CN"/>
              </w:rPr>
              <w:t>客户端采用C/S架构，管理端采用B/S架构，管理端提供B/S架构的集中化管理平台，支持通过单一控制台完成策略下发、终端分组、病毒库升级及日志审计等所有管理操作。（提供产品说明书）</w:t>
            </w:r>
          </w:p>
        </w:tc>
      </w:tr>
      <w:tr w14:paraId="0B1B7361">
        <w:tblPrEx>
          <w:tblCellMar>
            <w:top w:w="0" w:type="dxa"/>
            <w:left w:w="108" w:type="dxa"/>
            <w:bottom w:w="0" w:type="dxa"/>
            <w:right w:w="108" w:type="dxa"/>
          </w:tblCellMar>
        </w:tblPrEx>
        <w:trPr>
          <w:trHeight w:val="1946"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372C9E4E">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ACEA91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7020" w:type="dxa"/>
            <w:tcBorders>
              <w:top w:val="single" w:color="auto" w:sz="4" w:space="0"/>
              <w:left w:val="nil"/>
              <w:bottom w:val="single" w:color="auto" w:sz="4" w:space="0"/>
              <w:right w:val="single" w:color="auto" w:sz="4" w:space="0"/>
            </w:tcBorders>
            <w:noWrap w:val="0"/>
            <w:vAlign w:val="center"/>
          </w:tcPr>
          <w:p w14:paraId="11816DE9">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2.3资产管理：</w:t>
            </w:r>
            <w:r>
              <w:rPr>
                <w:rFonts w:hint="eastAsia" w:ascii="仿宋_GB2312" w:hAnsi="仿宋_GB2312" w:eastAsia="仿宋_GB2312" w:cs="仿宋_GB2312"/>
                <w:sz w:val="28"/>
                <w:szCs w:val="28"/>
                <w:lang w:val="en-US" w:eastAsia="zh-CN"/>
              </w:rPr>
              <w:t>支持全网终端硬件资产（CPU、内存、硬盘、网卡等）和软件资产清点，支持资产变更记录查询和导出。</w:t>
            </w:r>
          </w:p>
        </w:tc>
      </w:tr>
      <w:tr w14:paraId="045C1DBE">
        <w:tblPrEx>
          <w:tblCellMar>
            <w:top w:w="0" w:type="dxa"/>
            <w:left w:w="108" w:type="dxa"/>
            <w:bottom w:w="0" w:type="dxa"/>
            <w:right w:w="108" w:type="dxa"/>
          </w:tblCellMar>
        </w:tblPrEx>
        <w:trPr>
          <w:trHeight w:val="1809"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129932D">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384C3041">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7020" w:type="dxa"/>
            <w:tcBorders>
              <w:top w:val="single" w:color="auto" w:sz="4" w:space="0"/>
              <w:left w:val="nil"/>
              <w:bottom w:val="single" w:color="auto" w:sz="4" w:space="0"/>
              <w:right w:val="single" w:color="auto" w:sz="4" w:space="0"/>
            </w:tcBorders>
            <w:noWrap w:val="0"/>
            <w:vAlign w:val="center"/>
          </w:tcPr>
          <w:p w14:paraId="32B10391">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2.4分级管理：</w:t>
            </w:r>
            <w:r>
              <w:rPr>
                <w:rFonts w:hint="eastAsia" w:ascii="仿宋_GB2312" w:hAnsi="仿宋_GB2312" w:eastAsia="仿宋_GB2312" w:cs="仿宋_GB2312"/>
                <w:sz w:val="28"/>
                <w:szCs w:val="28"/>
                <w:lang w:val="en-US" w:eastAsia="zh-CN"/>
              </w:rPr>
              <w:t>支持多级管理权限，可按组织架构分配不同管理员的操作权限（如仅监控或可处置）。</w:t>
            </w:r>
          </w:p>
        </w:tc>
      </w:tr>
      <w:tr w14:paraId="47EC0563">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20BDBF2">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36BC1223">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7020" w:type="dxa"/>
            <w:tcBorders>
              <w:top w:val="single" w:color="auto" w:sz="4" w:space="0"/>
              <w:left w:val="nil"/>
              <w:bottom w:val="single" w:color="auto" w:sz="4" w:space="0"/>
              <w:right w:val="single" w:color="auto" w:sz="4" w:space="0"/>
            </w:tcBorders>
            <w:noWrap w:val="0"/>
            <w:vAlign w:val="center"/>
          </w:tcPr>
          <w:p w14:paraId="49DD0BC7">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2.5日志外发：</w:t>
            </w:r>
            <w:r>
              <w:rPr>
                <w:rFonts w:hint="eastAsia" w:ascii="仿宋_GB2312" w:hAnsi="仿宋_GB2312" w:eastAsia="仿宋_GB2312" w:cs="仿宋_GB2312"/>
                <w:sz w:val="28"/>
                <w:szCs w:val="28"/>
                <w:lang w:val="en-US" w:eastAsia="zh-CN"/>
              </w:rPr>
              <w:t>支持将安全告警事件通过Syslog方式外发至第三方SIEM平台或态势感知系统。</w:t>
            </w:r>
          </w:p>
        </w:tc>
      </w:tr>
      <w:tr w14:paraId="3CA5C269">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3B508277">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57AAAB1C">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w:t>
            </w:r>
          </w:p>
        </w:tc>
        <w:tc>
          <w:tcPr>
            <w:tcW w:w="7020" w:type="dxa"/>
            <w:tcBorders>
              <w:top w:val="single" w:color="auto" w:sz="4" w:space="0"/>
              <w:left w:val="nil"/>
              <w:bottom w:val="single" w:color="auto" w:sz="4" w:space="0"/>
              <w:right w:val="single" w:color="auto" w:sz="4" w:space="0"/>
            </w:tcBorders>
            <w:noWrap w:val="0"/>
            <w:vAlign w:val="center"/>
          </w:tcPr>
          <w:p w14:paraId="3FC25D32">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2.6支持内外网双模式更新机制</w:t>
            </w:r>
            <w:r>
              <w:rPr>
                <w:rFonts w:hint="eastAsia" w:ascii="仿宋_GB2312" w:hAnsi="仿宋_GB2312" w:eastAsia="仿宋_GB2312" w:cs="仿宋_GB2312"/>
                <w:sz w:val="28"/>
                <w:szCs w:val="28"/>
                <w:lang w:val="en-US" w:eastAsia="zh-CN"/>
              </w:rPr>
              <w:t>：</w:t>
            </w:r>
          </w:p>
          <w:p w14:paraId="10A629DD">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在线更新：支持直接从互联网官方更新源获取最新病毒特征码。</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离线更新：支持内网环境下的病毒库离线升级。当外网更新包下载完成后，可通过管理控制台上传至内网更新服务器，实现内外网特征库同步更新。</w:t>
            </w:r>
          </w:p>
        </w:tc>
      </w:tr>
      <w:tr w14:paraId="706188A3">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0DAD14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0475848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7020" w:type="dxa"/>
            <w:tcBorders>
              <w:top w:val="single" w:color="auto" w:sz="4" w:space="0"/>
              <w:left w:val="nil"/>
              <w:bottom w:val="single" w:color="auto" w:sz="4" w:space="0"/>
              <w:right w:val="single" w:color="auto" w:sz="4" w:space="0"/>
            </w:tcBorders>
            <w:noWrap w:val="0"/>
            <w:vAlign w:val="center"/>
          </w:tcPr>
          <w:p w14:paraId="6AB11E4E">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2.7升级容错：</w:t>
            </w:r>
            <w:r>
              <w:rPr>
                <w:rFonts w:hint="eastAsia" w:ascii="仿宋_GB2312" w:hAnsi="仿宋_GB2312" w:eastAsia="仿宋_GB2312" w:cs="仿宋_GB2312"/>
                <w:sz w:val="28"/>
                <w:szCs w:val="28"/>
                <w:lang w:val="en-US" w:eastAsia="zh-CN"/>
              </w:rPr>
              <w:t>支持终端在断网重连后自动检测并续传未完成的升级文件，避免重复下载。</w:t>
            </w:r>
          </w:p>
        </w:tc>
      </w:tr>
      <w:tr w14:paraId="7FDC766B">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824A8CB">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0B32CFD5">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w:t>
            </w:r>
          </w:p>
        </w:tc>
        <w:tc>
          <w:tcPr>
            <w:tcW w:w="7020" w:type="dxa"/>
            <w:tcBorders>
              <w:top w:val="single" w:color="auto" w:sz="4" w:space="0"/>
              <w:left w:val="nil"/>
              <w:bottom w:val="single" w:color="auto" w:sz="4" w:space="0"/>
              <w:right w:val="single" w:color="auto" w:sz="4" w:space="0"/>
            </w:tcBorders>
            <w:noWrap w:val="0"/>
            <w:vAlign w:val="center"/>
          </w:tcPr>
          <w:p w14:paraId="0DAADD07">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三、核心防护能力（编号14至18）</w:t>
            </w:r>
          </w:p>
        </w:tc>
      </w:tr>
      <w:tr w14:paraId="7DFF71C6">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9DD5E1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6E11B8C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p>
        </w:tc>
        <w:tc>
          <w:tcPr>
            <w:tcW w:w="7020" w:type="dxa"/>
            <w:tcBorders>
              <w:top w:val="single" w:color="auto" w:sz="4" w:space="0"/>
              <w:left w:val="nil"/>
              <w:bottom w:val="single" w:color="auto" w:sz="4" w:space="0"/>
              <w:right w:val="single" w:color="auto" w:sz="4" w:space="0"/>
            </w:tcBorders>
            <w:noWrap w:val="0"/>
            <w:vAlign w:val="center"/>
          </w:tcPr>
          <w:p w14:paraId="094C0584">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3.1多引擎查杀：</w:t>
            </w:r>
            <w:r>
              <w:rPr>
                <w:rFonts w:hint="eastAsia" w:ascii="仿宋_GB2312" w:hAnsi="仿宋_GB2312" w:eastAsia="仿宋_GB2312" w:cs="仿宋_GB2312"/>
                <w:sz w:val="28"/>
                <w:szCs w:val="28"/>
                <w:lang w:val="en-US" w:eastAsia="zh-CN"/>
              </w:rPr>
              <w:t>产品应集成本地查杀引擎、云端查杀引擎及启发式分析技术，具备对已知和未知病毒、木马、蠕虫及勒索软件的查杀能力。核心防病毒引擎须具备自主知识产权，非OEM产品。</w:t>
            </w:r>
          </w:p>
        </w:tc>
      </w:tr>
      <w:tr w14:paraId="176274D3">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385F7AA5">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5040D2C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w:t>
            </w:r>
          </w:p>
        </w:tc>
        <w:tc>
          <w:tcPr>
            <w:tcW w:w="7020" w:type="dxa"/>
            <w:tcBorders>
              <w:top w:val="single" w:color="auto" w:sz="4" w:space="0"/>
              <w:left w:val="nil"/>
              <w:bottom w:val="single" w:color="auto" w:sz="4" w:space="0"/>
              <w:right w:val="single" w:color="auto" w:sz="4" w:space="0"/>
            </w:tcBorders>
            <w:noWrap w:val="0"/>
            <w:vAlign w:val="center"/>
          </w:tcPr>
          <w:p w14:paraId="076CC3B1">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3.2勒索病毒专项防护：</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支持勒索病毒诱捕功能，可在关键目录生成诱饵文件，主动捕获勒索行为并进行隔离。</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支持暴力破解攻击防护（RDP、SMB等协议），可自定义爆破阈值，自动封堵攻击源IP。</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支持横向渗透防护，阻断已感染终端对内网其他主机的攻击传播。</w:t>
            </w:r>
          </w:p>
        </w:tc>
      </w:tr>
      <w:tr w14:paraId="1E3EBCE1">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8B21646">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84605F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7020" w:type="dxa"/>
            <w:tcBorders>
              <w:top w:val="single" w:color="auto" w:sz="4" w:space="0"/>
              <w:left w:val="nil"/>
              <w:bottom w:val="single" w:color="auto" w:sz="4" w:space="0"/>
              <w:right w:val="single" w:color="auto" w:sz="4" w:space="0"/>
            </w:tcBorders>
            <w:noWrap w:val="0"/>
            <w:vAlign w:val="center"/>
          </w:tcPr>
          <w:p w14:paraId="668731CD">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3.3系统加固：</w:t>
            </w:r>
            <w:r>
              <w:rPr>
                <w:rFonts w:hint="eastAsia" w:ascii="仿宋_GB2312" w:hAnsi="仿宋_GB2312" w:eastAsia="仿宋_GB2312" w:cs="仿宋_GB2312"/>
                <w:sz w:val="28"/>
                <w:szCs w:val="28"/>
                <w:lang w:val="en-US" w:eastAsia="zh-CN"/>
              </w:rPr>
              <w:t>支持对系统关键文件、注册表、进程等的保护，防止被恶意篡改或利用；支持对Web服务（Apache、Nginx、IIS等）和常用软件（Office、浏览器等）的应用加固。</w:t>
            </w:r>
          </w:p>
        </w:tc>
      </w:tr>
      <w:tr w14:paraId="1306D083">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13D7739">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E5D7642">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w:t>
            </w:r>
          </w:p>
        </w:tc>
        <w:tc>
          <w:tcPr>
            <w:tcW w:w="7020" w:type="dxa"/>
            <w:tcBorders>
              <w:top w:val="single" w:color="auto" w:sz="4" w:space="0"/>
              <w:left w:val="nil"/>
              <w:bottom w:val="single" w:color="auto" w:sz="4" w:space="0"/>
              <w:right w:val="single" w:color="auto" w:sz="4" w:space="0"/>
            </w:tcBorders>
            <w:noWrap w:val="0"/>
            <w:vAlign w:val="center"/>
          </w:tcPr>
          <w:p w14:paraId="69F16505">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3.4威胁情报联动</w:t>
            </w:r>
            <w:r>
              <w:rPr>
                <w:rFonts w:hint="eastAsia" w:ascii="仿宋_GB2312" w:hAnsi="仿宋_GB2312" w:eastAsia="仿宋_GB2312" w:cs="仿宋_GB2312"/>
                <w:sz w:val="28"/>
                <w:szCs w:val="28"/>
                <w:lang w:val="en-US" w:eastAsia="zh-CN"/>
              </w:rPr>
              <w:t>：具备与云端威胁情报中心联动能力，可对可疑文件、URL进行信誉查询，并提供详细的威胁分析报告。</w:t>
            </w:r>
          </w:p>
        </w:tc>
      </w:tr>
      <w:tr w14:paraId="7413D6D7">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965247F">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4015D8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w:t>
            </w:r>
          </w:p>
        </w:tc>
        <w:tc>
          <w:tcPr>
            <w:tcW w:w="7020" w:type="dxa"/>
            <w:tcBorders>
              <w:top w:val="single" w:color="auto" w:sz="4" w:space="0"/>
              <w:left w:val="nil"/>
              <w:bottom w:val="single" w:color="auto" w:sz="4" w:space="0"/>
              <w:right w:val="single" w:color="auto" w:sz="4" w:space="0"/>
            </w:tcBorders>
            <w:noWrap w:val="0"/>
            <w:vAlign w:val="center"/>
          </w:tcPr>
          <w:p w14:paraId="6F235221">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3.5高级威胁防护：</w:t>
            </w:r>
            <w:r>
              <w:rPr>
                <w:rFonts w:hint="eastAsia" w:ascii="仿宋_GB2312" w:hAnsi="仿宋_GB2312" w:eastAsia="仿宋_GB2312" w:cs="仿宋_GB2312"/>
                <w:sz w:val="28"/>
                <w:szCs w:val="28"/>
                <w:lang w:val="en-US" w:eastAsia="zh-CN"/>
              </w:rPr>
              <w:t>具备主动防御能力，挖矿病毒及无文件攻击的行为检测与阻断。</w:t>
            </w:r>
          </w:p>
        </w:tc>
      </w:tr>
      <w:tr w14:paraId="26012582">
        <w:tblPrEx>
          <w:tblCellMar>
            <w:top w:w="0" w:type="dxa"/>
            <w:left w:w="108" w:type="dxa"/>
            <w:bottom w:w="0" w:type="dxa"/>
            <w:right w:w="108" w:type="dxa"/>
          </w:tblCellMar>
        </w:tblPrEx>
        <w:trPr>
          <w:trHeight w:val="827"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8439AD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61684F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w:t>
            </w:r>
          </w:p>
        </w:tc>
        <w:tc>
          <w:tcPr>
            <w:tcW w:w="7020" w:type="dxa"/>
            <w:tcBorders>
              <w:top w:val="single" w:color="auto" w:sz="4" w:space="0"/>
              <w:left w:val="nil"/>
              <w:bottom w:val="single" w:color="auto" w:sz="4" w:space="0"/>
              <w:right w:val="single" w:color="auto" w:sz="4" w:space="0"/>
            </w:tcBorders>
            <w:noWrap w:val="0"/>
            <w:vAlign w:val="center"/>
          </w:tcPr>
          <w:p w14:paraId="75C379A1">
            <w:pPr>
              <w:keepNext w:val="0"/>
              <w:keepLines w:val="0"/>
              <w:widowControl/>
              <w:suppressLineNumbers w:val="0"/>
              <w:jc w:val="left"/>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仿宋_GB2312" w:hAnsi="仿宋_GB2312" w:eastAsia="仿宋_GB2312" w:cs="仿宋_GB2312"/>
                <w:b/>
                <w:bCs/>
                <w:sz w:val="28"/>
                <w:szCs w:val="28"/>
                <w:lang w:val="en-US" w:eastAsia="zh-CN"/>
              </w:rPr>
              <w:t>四、终端管理与运维（编号20至26）</w:t>
            </w:r>
          </w:p>
        </w:tc>
      </w:tr>
      <w:tr w14:paraId="26D25363">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F97A87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6CB99D7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w:t>
            </w:r>
          </w:p>
        </w:tc>
        <w:tc>
          <w:tcPr>
            <w:tcW w:w="7020" w:type="dxa"/>
            <w:tcBorders>
              <w:top w:val="single" w:color="auto" w:sz="4" w:space="0"/>
              <w:left w:val="nil"/>
              <w:bottom w:val="single" w:color="auto" w:sz="4" w:space="0"/>
              <w:right w:val="single" w:color="auto" w:sz="4" w:space="0"/>
            </w:tcBorders>
            <w:noWrap w:val="0"/>
            <w:vAlign w:val="center"/>
          </w:tcPr>
          <w:p w14:paraId="138A6633">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4.1轻量化要求：</w:t>
            </w:r>
            <w:r>
              <w:rPr>
                <w:rFonts w:hint="eastAsia" w:ascii="仿宋_GB2312" w:hAnsi="仿宋_GB2312" w:eastAsia="仿宋_GB2312" w:cs="仿宋_GB2312"/>
                <w:sz w:val="28"/>
                <w:szCs w:val="28"/>
                <w:lang w:val="en-US" w:eastAsia="zh-CN"/>
              </w:rPr>
              <w:t>客户端日常运行时内存占用不超过50MB，CPU占用不超过10%，不影响终端业务软件运行。</w:t>
            </w:r>
          </w:p>
        </w:tc>
      </w:tr>
      <w:tr w14:paraId="59511E1E">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61229E8">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D2E154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w:t>
            </w:r>
          </w:p>
        </w:tc>
        <w:tc>
          <w:tcPr>
            <w:tcW w:w="7020" w:type="dxa"/>
            <w:tcBorders>
              <w:top w:val="single" w:color="auto" w:sz="4" w:space="0"/>
              <w:left w:val="nil"/>
              <w:bottom w:val="single" w:color="auto" w:sz="4" w:space="0"/>
              <w:right w:val="single" w:color="auto" w:sz="4" w:space="0"/>
            </w:tcBorders>
            <w:noWrap w:val="0"/>
            <w:vAlign w:val="center"/>
          </w:tcPr>
          <w:p w14:paraId="56AF6FF8">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4.2漏洞修复</w:t>
            </w:r>
            <w:r>
              <w:rPr>
                <w:rFonts w:hint="eastAsia" w:ascii="仿宋_GB2312" w:hAnsi="仿宋_GB2312" w:eastAsia="仿宋_GB2312" w:cs="仿宋_GB2312"/>
                <w:sz w:val="28"/>
                <w:szCs w:val="28"/>
                <w:lang w:val="en-US" w:eastAsia="zh-CN"/>
              </w:rPr>
              <w:t>：支持扫描和修复Windows系统及常见应用软件（Office、浏览器等）的安全漏洞，支持内网补丁服务器部署和离线补丁分发。</w:t>
            </w:r>
          </w:p>
        </w:tc>
      </w:tr>
      <w:tr w14:paraId="486BB8EA">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7D75D5D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A3E82BA">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w:t>
            </w:r>
          </w:p>
        </w:tc>
        <w:tc>
          <w:tcPr>
            <w:tcW w:w="7020" w:type="dxa"/>
            <w:tcBorders>
              <w:top w:val="single" w:color="auto" w:sz="4" w:space="0"/>
              <w:left w:val="nil"/>
              <w:bottom w:val="single" w:color="auto" w:sz="4" w:space="0"/>
              <w:right w:val="single" w:color="auto" w:sz="4" w:space="0"/>
            </w:tcBorders>
            <w:noWrap w:val="0"/>
            <w:vAlign w:val="center"/>
          </w:tcPr>
          <w:p w14:paraId="53779AA9">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4.3外设管控</w:t>
            </w:r>
            <w:r>
              <w:rPr>
                <w:rFonts w:hint="eastAsia" w:ascii="仿宋_GB2312" w:hAnsi="仿宋_GB2312" w:eastAsia="仿宋_GB2312" w:cs="仿宋_GB2312"/>
                <w:sz w:val="28"/>
                <w:szCs w:val="28"/>
                <w:lang w:val="en-US" w:eastAsia="zh-CN"/>
              </w:rPr>
              <w:t>：支持对USB存储设备（U盘、移动硬盘）设置“只读”、“禁用”或“白名单”权限，防止病毒通过外设入侵。（提供产品说明书）</w:t>
            </w:r>
          </w:p>
        </w:tc>
      </w:tr>
      <w:tr w14:paraId="3B117193">
        <w:tblPrEx>
          <w:tblCellMar>
            <w:top w:w="0" w:type="dxa"/>
            <w:left w:w="108" w:type="dxa"/>
            <w:bottom w:w="0" w:type="dxa"/>
            <w:right w:w="108" w:type="dxa"/>
          </w:tblCellMar>
        </w:tblPrEx>
        <w:trPr>
          <w:trHeight w:val="686"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7A19D20">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2A1670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w:t>
            </w:r>
          </w:p>
        </w:tc>
        <w:tc>
          <w:tcPr>
            <w:tcW w:w="7020" w:type="dxa"/>
            <w:tcBorders>
              <w:top w:val="single" w:color="auto" w:sz="4" w:space="0"/>
              <w:left w:val="nil"/>
              <w:bottom w:val="single" w:color="auto" w:sz="4" w:space="0"/>
              <w:right w:val="single" w:color="auto" w:sz="4" w:space="0"/>
            </w:tcBorders>
            <w:noWrap w:val="0"/>
            <w:vAlign w:val="center"/>
          </w:tcPr>
          <w:p w14:paraId="53B72BE0">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4.4违规外联检测</w:t>
            </w:r>
            <w:r>
              <w:rPr>
                <w:rFonts w:hint="eastAsia" w:ascii="仿宋_GB2312" w:hAnsi="仿宋_GB2312" w:eastAsia="仿宋_GB2312" w:cs="仿宋_GB2312"/>
                <w:sz w:val="28"/>
                <w:szCs w:val="28"/>
                <w:lang w:val="en-US" w:eastAsia="zh-CN"/>
              </w:rPr>
              <w:t>：支持基于IP或域名的违规外联探测，可设置自动断网或弹窗提醒等处置方式。</w:t>
            </w:r>
          </w:p>
        </w:tc>
      </w:tr>
      <w:tr w14:paraId="4C0FA4F4">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CFBBC32">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04237EAF">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w:t>
            </w:r>
          </w:p>
        </w:tc>
        <w:tc>
          <w:tcPr>
            <w:tcW w:w="7020" w:type="dxa"/>
            <w:tcBorders>
              <w:top w:val="single" w:color="auto" w:sz="4" w:space="0"/>
              <w:left w:val="nil"/>
              <w:bottom w:val="single" w:color="auto" w:sz="4" w:space="0"/>
              <w:right w:val="single" w:color="auto" w:sz="4" w:space="0"/>
            </w:tcBorders>
            <w:noWrap w:val="0"/>
            <w:vAlign w:val="center"/>
          </w:tcPr>
          <w:p w14:paraId="697FCAEE">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4.5终端自保护</w:t>
            </w:r>
            <w:r>
              <w:rPr>
                <w:rFonts w:hint="eastAsia" w:ascii="仿宋_GB2312" w:hAnsi="仿宋_GB2312" w:eastAsia="仿宋_GB2312" w:cs="仿宋_GB2312"/>
                <w:sz w:val="28"/>
                <w:szCs w:val="28"/>
                <w:lang w:val="en-US" w:eastAsia="zh-CN"/>
              </w:rPr>
              <w:t>：具备防卸载、防退出密码保护功能，防止终端用户自行停止防护。可禁止PCHunter、Mimikatz等黑客工具在终端运行。</w:t>
            </w:r>
          </w:p>
        </w:tc>
      </w:tr>
      <w:tr w14:paraId="53FD8C4D">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815B9A4">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64FD9F8F">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w:t>
            </w:r>
          </w:p>
        </w:tc>
        <w:tc>
          <w:tcPr>
            <w:tcW w:w="7020" w:type="dxa"/>
            <w:tcBorders>
              <w:top w:val="single" w:color="auto" w:sz="4" w:space="0"/>
              <w:left w:val="nil"/>
              <w:bottom w:val="single" w:color="auto" w:sz="4" w:space="0"/>
              <w:right w:val="single" w:color="auto" w:sz="4" w:space="0"/>
            </w:tcBorders>
            <w:noWrap w:val="0"/>
            <w:vAlign w:val="center"/>
          </w:tcPr>
          <w:p w14:paraId="34F002C6">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4.6错峰升级</w:t>
            </w:r>
            <w:r>
              <w:rPr>
                <w:rFonts w:hint="eastAsia" w:ascii="仿宋_GB2312" w:hAnsi="仿宋_GB2312" w:eastAsia="仿宋_GB2312" w:cs="仿宋_GB2312"/>
                <w:sz w:val="28"/>
                <w:szCs w:val="28"/>
                <w:lang w:val="en-US" w:eastAsia="zh-CN"/>
              </w:rPr>
              <w:t>：支持客户端错峰升级功能，可自定义升级时段，避免集中升级占用网络带宽影响业务。</w:t>
            </w:r>
          </w:p>
        </w:tc>
      </w:tr>
      <w:tr w14:paraId="39B81F4D">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795FAA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2EB431A9">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w:t>
            </w:r>
          </w:p>
        </w:tc>
        <w:tc>
          <w:tcPr>
            <w:tcW w:w="7020" w:type="dxa"/>
            <w:tcBorders>
              <w:top w:val="single" w:color="auto" w:sz="4" w:space="0"/>
              <w:left w:val="nil"/>
              <w:bottom w:val="single" w:color="auto" w:sz="4" w:space="0"/>
              <w:right w:val="single" w:color="auto" w:sz="4" w:space="0"/>
            </w:tcBorders>
            <w:noWrap w:val="0"/>
            <w:vAlign w:val="center"/>
          </w:tcPr>
          <w:p w14:paraId="2CD8614D">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仿宋_GB2312" w:hAnsi="仿宋_GB2312" w:eastAsia="仿宋_GB2312" w:cs="仿宋_GB2312"/>
                <w:b/>
                <w:bCs/>
                <w:sz w:val="28"/>
                <w:szCs w:val="28"/>
                <w:lang w:val="en-US" w:eastAsia="zh-CN"/>
              </w:rPr>
              <w:t>4.7微隔离与处置</w:t>
            </w:r>
            <w:r>
              <w:rPr>
                <w:rFonts w:hint="eastAsia" w:ascii="仿宋_GB2312" w:hAnsi="仿宋_GB2312" w:eastAsia="仿宋_GB2312" w:cs="仿宋_GB2312"/>
                <w:sz w:val="28"/>
                <w:szCs w:val="28"/>
                <w:lang w:val="en-US" w:eastAsia="zh-CN"/>
              </w:rPr>
              <w:t>：支持对疑似中毒终端进行一键网络隔离，仅保留与管理中心通信能力，防止横向扩散，同时允许管理员远程进行文件查杀或手动恢复网络。</w:t>
            </w:r>
          </w:p>
        </w:tc>
      </w:tr>
      <w:tr w14:paraId="6CADC596">
        <w:tblPrEx>
          <w:tblCellMar>
            <w:top w:w="0" w:type="dxa"/>
            <w:left w:w="108" w:type="dxa"/>
            <w:bottom w:w="0" w:type="dxa"/>
            <w:right w:w="108" w:type="dxa"/>
          </w:tblCellMar>
        </w:tblPrEx>
        <w:trPr>
          <w:trHeight w:val="96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BB85B77">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60CC2CA">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w:t>
            </w:r>
          </w:p>
        </w:tc>
        <w:tc>
          <w:tcPr>
            <w:tcW w:w="7020" w:type="dxa"/>
            <w:tcBorders>
              <w:top w:val="single" w:color="auto" w:sz="4" w:space="0"/>
              <w:left w:val="nil"/>
              <w:bottom w:val="single" w:color="auto" w:sz="4" w:space="0"/>
              <w:right w:val="single" w:color="auto" w:sz="4" w:space="0"/>
            </w:tcBorders>
            <w:noWrap w:val="0"/>
            <w:vAlign w:val="center"/>
          </w:tcPr>
          <w:p w14:paraId="06D29DA4">
            <w:pPr>
              <w:keepNext w:val="0"/>
              <w:keepLines w:val="0"/>
              <w:widowControl/>
              <w:suppressLineNumbers w:val="0"/>
              <w:jc w:val="left"/>
              <w:textAlignment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五、服务要求（编号28至32）</w:t>
            </w:r>
          </w:p>
        </w:tc>
      </w:tr>
      <w:tr w14:paraId="6D206955">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CA8AD8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31C3B2B8">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w:t>
            </w:r>
          </w:p>
        </w:tc>
        <w:tc>
          <w:tcPr>
            <w:tcW w:w="7020" w:type="dxa"/>
            <w:tcBorders>
              <w:top w:val="single" w:color="auto" w:sz="4" w:space="0"/>
              <w:left w:val="nil"/>
              <w:bottom w:val="single" w:color="auto" w:sz="4" w:space="0"/>
              <w:right w:val="single" w:color="auto" w:sz="4" w:space="0"/>
            </w:tcBorders>
            <w:noWrap w:val="0"/>
            <w:vAlign w:val="center"/>
          </w:tcPr>
          <w:p w14:paraId="5C95DF2C">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5.1应急响应</w:t>
            </w:r>
            <w:r>
              <w:rPr>
                <w:rFonts w:hint="eastAsia" w:ascii="仿宋_GB2312" w:hAnsi="仿宋_GB2312" w:eastAsia="仿宋_GB2312" w:cs="仿宋_GB2312"/>
                <w:sz w:val="28"/>
                <w:szCs w:val="28"/>
                <w:lang w:val="en-US" w:eastAsia="zh-CN"/>
              </w:rPr>
              <w:t>：提供7×24小时技术支持，重大安全事件30分钟内响应，1小时内提供远程支持，紧急情况下3小时内到达现场。</w:t>
            </w:r>
          </w:p>
        </w:tc>
      </w:tr>
      <w:tr w14:paraId="0B8827AE">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15EC10C">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7DF289D">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w:t>
            </w:r>
          </w:p>
        </w:tc>
        <w:tc>
          <w:tcPr>
            <w:tcW w:w="7020" w:type="dxa"/>
            <w:tcBorders>
              <w:top w:val="single" w:color="auto" w:sz="4" w:space="0"/>
              <w:left w:val="nil"/>
              <w:bottom w:val="single" w:color="auto" w:sz="4" w:space="0"/>
              <w:right w:val="single" w:color="auto" w:sz="4" w:space="0"/>
            </w:tcBorders>
            <w:noWrap w:val="0"/>
            <w:vAlign w:val="center"/>
          </w:tcPr>
          <w:p w14:paraId="4679765C">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5.2病毒响应：</w:t>
            </w:r>
            <w:r>
              <w:rPr>
                <w:rFonts w:hint="eastAsia" w:ascii="仿宋_GB2312" w:hAnsi="仿宋_GB2312" w:eastAsia="仿宋_GB2312" w:cs="仿宋_GB2312"/>
                <w:sz w:val="28"/>
                <w:szCs w:val="28"/>
                <w:lang w:val="en-US" w:eastAsia="zh-CN"/>
              </w:rPr>
              <w:t>具备对新爆发病毒的快速响应机制，承诺在病毒特征库发布后2小时内提供紧急更新，并对用户提交的病毒样本在24小时内完成分析处理。</w:t>
            </w:r>
          </w:p>
        </w:tc>
      </w:tr>
      <w:tr w14:paraId="4E437C71">
        <w:tblPrEx>
          <w:tblCellMar>
            <w:top w:w="0" w:type="dxa"/>
            <w:left w:w="108" w:type="dxa"/>
            <w:bottom w:w="0" w:type="dxa"/>
            <w:right w:w="108" w:type="dxa"/>
          </w:tblCellMar>
        </w:tblPrEx>
        <w:trPr>
          <w:trHeight w:val="739"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76E1248E">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2503A6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w:t>
            </w:r>
          </w:p>
        </w:tc>
        <w:tc>
          <w:tcPr>
            <w:tcW w:w="7020" w:type="dxa"/>
            <w:tcBorders>
              <w:top w:val="single" w:color="auto" w:sz="4" w:space="0"/>
              <w:left w:val="nil"/>
              <w:bottom w:val="single" w:color="auto" w:sz="4" w:space="0"/>
              <w:right w:val="single" w:color="auto" w:sz="4" w:space="0"/>
            </w:tcBorders>
            <w:noWrap w:val="0"/>
            <w:vAlign w:val="center"/>
          </w:tcPr>
          <w:p w14:paraId="18CBE911">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5.3培训服务</w:t>
            </w:r>
            <w:r>
              <w:rPr>
                <w:rFonts w:hint="eastAsia" w:ascii="仿宋_GB2312" w:hAnsi="仿宋_GB2312" w:eastAsia="仿宋_GB2312" w:cs="仿宋_GB2312"/>
                <w:sz w:val="28"/>
                <w:szCs w:val="28"/>
                <w:lang w:val="en-US" w:eastAsia="zh-CN"/>
              </w:rPr>
              <w:t>：实施完成后，为医院信息科提供不少于2次现场操作培训，并提供完整的产品文档。</w:t>
            </w:r>
          </w:p>
        </w:tc>
      </w:tr>
      <w:tr w14:paraId="61BC4EEC">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586CD5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418F79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w:t>
            </w:r>
          </w:p>
        </w:tc>
        <w:tc>
          <w:tcPr>
            <w:tcW w:w="7020" w:type="dxa"/>
            <w:tcBorders>
              <w:top w:val="single" w:color="auto" w:sz="4" w:space="0"/>
              <w:left w:val="nil"/>
              <w:bottom w:val="single" w:color="auto" w:sz="4" w:space="0"/>
              <w:right w:val="single" w:color="auto" w:sz="4" w:space="0"/>
            </w:tcBorders>
            <w:noWrap w:val="0"/>
            <w:vAlign w:val="center"/>
          </w:tcPr>
          <w:p w14:paraId="28EE9F9A">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5.5业务保障核心</w:t>
            </w:r>
            <w:r>
              <w:rPr>
                <w:rFonts w:hint="eastAsia" w:ascii="仿宋_GB2312" w:hAnsi="仿宋_GB2312" w:eastAsia="仿宋_GB2312" w:cs="仿宋_GB2312"/>
                <w:sz w:val="28"/>
                <w:szCs w:val="28"/>
                <w:lang w:val="en-US" w:eastAsia="zh-CN"/>
              </w:rPr>
              <w:t>：中标方必须负责医院所有终端（含Windows服务器、工作站及Linux服务器）的杀毒软件安装、调试及适配工作。安装实施期间须保障医院HIS、LIS、PACS等核心业务系统正常运行，因安装调试导致业务中断的，需承担相应责任。</w:t>
            </w:r>
          </w:p>
        </w:tc>
      </w:tr>
      <w:tr w14:paraId="0F5C29C6">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F5F1E9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0E487A5">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w:t>
            </w:r>
          </w:p>
        </w:tc>
        <w:tc>
          <w:tcPr>
            <w:tcW w:w="7020" w:type="dxa"/>
            <w:tcBorders>
              <w:top w:val="single" w:color="auto" w:sz="4" w:space="0"/>
              <w:left w:val="nil"/>
              <w:bottom w:val="single" w:color="auto" w:sz="4" w:space="0"/>
              <w:right w:val="single" w:color="auto" w:sz="4" w:space="0"/>
            </w:tcBorders>
            <w:noWrap w:val="0"/>
            <w:vAlign w:val="center"/>
          </w:tcPr>
          <w:p w14:paraId="75247D2B">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5.6授权点位数量</w:t>
            </w:r>
            <w:r>
              <w:rPr>
                <w:rFonts w:hint="eastAsia" w:ascii="仿宋_GB2312" w:hAnsi="仿宋_GB2312" w:eastAsia="仿宋_GB2312" w:cs="仿宋_GB2312"/>
                <w:sz w:val="28"/>
                <w:szCs w:val="28"/>
                <w:lang w:val="en-US" w:eastAsia="zh-CN"/>
              </w:rPr>
              <w:t>：包含医院两院区服务器端及计算机终端大于等于3000点位的软件授权和病毒库更新。</w:t>
            </w:r>
          </w:p>
        </w:tc>
      </w:tr>
      <w:tr w14:paraId="272354BC">
        <w:tblPrEx>
          <w:tblCellMar>
            <w:top w:w="0" w:type="dxa"/>
            <w:left w:w="108" w:type="dxa"/>
            <w:bottom w:w="0" w:type="dxa"/>
            <w:right w:w="108" w:type="dxa"/>
          </w:tblCellMar>
        </w:tblPrEx>
        <w:trPr>
          <w:trHeight w:val="1331" w:hRule="atLeast"/>
          <w:jc w:val="center"/>
        </w:trPr>
        <w:tc>
          <w:tcPr>
            <w:tcW w:w="9095" w:type="dxa"/>
            <w:gridSpan w:val="3"/>
            <w:tcBorders>
              <w:top w:val="single" w:color="auto" w:sz="4" w:space="0"/>
              <w:left w:val="single" w:color="auto" w:sz="4" w:space="0"/>
              <w:bottom w:val="single" w:color="auto" w:sz="4" w:space="0"/>
              <w:right w:val="single" w:color="auto" w:sz="4" w:space="0"/>
            </w:tcBorders>
            <w:noWrap w:val="0"/>
            <w:vAlign w:val="center"/>
          </w:tcPr>
          <w:p w14:paraId="2376DDAA">
            <w:pPr>
              <w:keepNext w:val="0"/>
              <w:keepLines w:val="0"/>
              <w:widowControl/>
              <w:suppressLineNumbers w:val="0"/>
              <w:jc w:val="left"/>
              <w:textAlignment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注：所有技术参数标“</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lang w:val="en-US" w:eastAsia="zh-CN"/>
              </w:rPr>
              <w:t>”项为主要技术参数，任意一条不满足则导致响应无效。</w:t>
            </w:r>
          </w:p>
        </w:tc>
      </w:tr>
    </w:tbl>
    <w:p w14:paraId="007A1DB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057F6B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FD363C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十四、服务</w:t>
      </w:r>
      <w:r>
        <w:rPr>
          <w:rFonts w:hint="eastAsia" w:ascii="宋体" w:hAnsi="宋体" w:eastAsia="宋体" w:cs="宋体"/>
          <w:b w:val="0"/>
          <w:color w:val="000000"/>
          <w:sz w:val="24"/>
          <w:szCs w:val="24"/>
          <w:lang w:val="en-US" w:eastAsia="zh-CN"/>
        </w:rPr>
        <w:t>方案</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服务方案</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8B02996"/>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BB72F46"/>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85327"/>
    <w:rsid w:val="489F057B"/>
    <w:rsid w:val="4A686022"/>
    <w:rsid w:val="4ABC14C5"/>
    <w:rsid w:val="4AED3729"/>
    <w:rsid w:val="4C422DF2"/>
    <w:rsid w:val="4E473895"/>
    <w:rsid w:val="4F8B4AA9"/>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6366</Words>
  <Characters>7075</Characters>
  <Lines>0</Lines>
  <Paragraphs>0</Paragraphs>
  <TotalTime>1</TotalTime>
  <ScaleCrop>false</ScaleCrop>
  <LinksUpToDate>false</LinksUpToDate>
  <CharactersWithSpaces>7616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2026-07-29T07:16:57Z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ADA6929A238B4A87BD642BD66D356D9D_13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