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东胜院区家属楼自来水管网分路改造项目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2026年7月30日</w:t>
      </w:r>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3"/>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656"/>
        <w:gridCol w:w="1230"/>
        <w:gridCol w:w="1800"/>
        <w:gridCol w:w="1240"/>
        <w:gridCol w:w="1650"/>
      </w:tblGrid>
      <w:tr w14:paraId="64415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31FC801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3886" w:type="dxa"/>
            <w:gridSpan w:val="2"/>
            <w:vAlign w:val="center"/>
          </w:tcPr>
          <w:p w14:paraId="554EC44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800" w:type="dxa"/>
            <w:vAlign w:val="center"/>
          </w:tcPr>
          <w:p w14:paraId="62BB3CB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240" w:type="dxa"/>
            <w:vAlign w:val="center"/>
          </w:tcPr>
          <w:p w14:paraId="626E87D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50" w:type="dxa"/>
            <w:vAlign w:val="center"/>
          </w:tcPr>
          <w:p w14:paraId="4B34CFF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0089C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01D751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3886" w:type="dxa"/>
            <w:gridSpan w:val="2"/>
            <w:vAlign w:val="center"/>
          </w:tcPr>
          <w:p w14:paraId="2D8C6FA6">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东胜院区家属楼自来水管网分路改造项目</w:t>
            </w:r>
          </w:p>
        </w:tc>
        <w:tc>
          <w:tcPr>
            <w:tcW w:w="1800" w:type="dxa"/>
            <w:vAlign w:val="center"/>
          </w:tcPr>
          <w:p w14:paraId="64CC8AB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240" w:type="dxa"/>
            <w:vAlign w:val="center"/>
          </w:tcPr>
          <w:p w14:paraId="11C5861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50" w:type="dxa"/>
            <w:vAlign w:val="center"/>
          </w:tcPr>
          <w:p w14:paraId="3B852CFB">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550000</w:t>
            </w:r>
          </w:p>
        </w:tc>
      </w:tr>
      <w:tr w14:paraId="6FF11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48EA0F12">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0C0C743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F6AF3A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550000</w:t>
            </w:r>
          </w:p>
        </w:tc>
      </w:tr>
      <w:tr w14:paraId="76D5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D47FE6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656" w:type="dxa"/>
            <w:vAlign w:val="center"/>
          </w:tcPr>
          <w:p w14:paraId="511606A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920" w:type="dxa"/>
            <w:gridSpan w:val="4"/>
            <w:vAlign w:val="center"/>
          </w:tcPr>
          <w:p w14:paraId="2F0246FD">
            <w:pPr>
              <w:widowControl/>
              <w:jc w:val="center"/>
              <w:textAlignment w:val="center"/>
              <w:rPr>
                <w:rFonts w:hint="default"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合同签订后1周内</w:t>
            </w:r>
          </w:p>
        </w:tc>
      </w:tr>
      <w:tr w14:paraId="37557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2D0724F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656" w:type="dxa"/>
            <w:vAlign w:val="center"/>
          </w:tcPr>
          <w:p w14:paraId="28A9BC2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920" w:type="dxa"/>
            <w:gridSpan w:val="4"/>
            <w:vAlign w:val="center"/>
          </w:tcPr>
          <w:p w14:paraId="278D31D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70日历日</w:t>
            </w:r>
          </w:p>
        </w:tc>
      </w:tr>
      <w:tr w14:paraId="562E7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F4095D7">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656" w:type="dxa"/>
            <w:vAlign w:val="center"/>
          </w:tcPr>
          <w:p w14:paraId="75BF0EC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920" w:type="dxa"/>
            <w:gridSpan w:val="4"/>
            <w:vAlign w:val="center"/>
          </w:tcPr>
          <w:p w14:paraId="2C01005C">
            <w:pPr>
              <w:widowControl/>
              <w:jc w:val="both"/>
              <w:textAlignment w:val="center"/>
              <w:rPr>
                <w:rFonts w:hint="default" w:ascii="宋体" w:hAnsi="宋体" w:eastAsia="宋体" w:cs="宋体"/>
                <w:kern w:val="0"/>
                <w:sz w:val="28"/>
                <w:szCs w:val="28"/>
                <w:lang w:val="en-US" w:eastAsia="zh-CN"/>
              </w:rPr>
            </w:pPr>
            <w:r>
              <w:rPr>
                <w:rFonts w:hint="eastAsia" w:ascii="仿宋" w:hAnsi="仿宋" w:eastAsia="仿宋" w:cs="仿宋"/>
                <w:color w:val="000000"/>
                <w:kern w:val="0"/>
                <w:sz w:val="32"/>
                <w:szCs w:val="32"/>
                <w:lang w:val="en-US" w:eastAsia="zh-CN"/>
              </w:rPr>
              <w:t>施工完成验收合格后付款95%，剩余5%质保金二年质保期满无质量问题付清</w:t>
            </w:r>
          </w:p>
        </w:tc>
      </w:tr>
      <w:tr w14:paraId="6D4D2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CCEF0A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656" w:type="dxa"/>
            <w:vAlign w:val="center"/>
          </w:tcPr>
          <w:p w14:paraId="12D0F0D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920" w:type="dxa"/>
            <w:gridSpan w:val="4"/>
            <w:vAlign w:val="center"/>
          </w:tcPr>
          <w:p w14:paraId="5D625619">
            <w:pPr>
              <w:widowControl/>
              <w:jc w:val="center"/>
              <w:textAlignment w:val="center"/>
              <w:rPr>
                <w:rFonts w:hint="eastAsia" w:ascii="宋体" w:hAnsi="宋体" w:eastAsia="宋体" w:cs="宋体"/>
                <w:kern w:val="0"/>
                <w:sz w:val="28"/>
                <w:szCs w:val="28"/>
                <w:lang w:val="en-US" w:eastAsia="zh-CN"/>
              </w:rPr>
            </w:pPr>
            <w:r>
              <w:rPr>
                <w:rFonts w:hint="eastAsia" w:ascii="仿宋_GB2312" w:hAnsi="仿宋_GB2312" w:eastAsia="仿宋_GB2312" w:cs="仿宋_GB2312"/>
                <w:kern w:val="0"/>
                <w:sz w:val="32"/>
                <w:szCs w:val="32"/>
                <w:lang w:val="en-US" w:eastAsia="zh-CN"/>
              </w:rPr>
              <w:t>2年</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自验收合格之日起算</w:t>
            </w:r>
            <w:r>
              <w:rPr>
                <w:rFonts w:hint="eastAsia" w:ascii="仿宋_GB2312" w:hAnsi="仿宋_GB2312" w:eastAsia="仿宋_GB2312" w:cs="仿宋_GB2312"/>
                <w:kern w:val="0"/>
                <w:sz w:val="32"/>
                <w:szCs w:val="32"/>
                <w:lang w:eastAsia="zh-CN"/>
              </w:rPr>
              <w:t>）</w:t>
            </w:r>
          </w:p>
        </w:tc>
      </w:tr>
      <w:tr w14:paraId="6B2F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2" w:hRule="atLeast"/>
          <w:jc w:val="center"/>
        </w:trPr>
        <w:tc>
          <w:tcPr>
            <w:tcW w:w="1091" w:type="dxa"/>
            <w:vAlign w:val="center"/>
          </w:tcPr>
          <w:p w14:paraId="4EE6605C">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656" w:type="dxa"/>
            <w:vAlign w:val="center"/>
          </w:tcPr>
          <w:p w14:paraId="7BC319D2">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920" w:type="dxa"/>
            <w:gridSpan w:val="4"/>
            <w:vAlign w:val="center"/>
          </w:tcPr>
          <w:p w14:paraId="73FBEFB3">
            <w:pPr>
              <w:pStyle w:val="7"/>
              <w:numPr>
                <w:ilvl w:val="0"/>
                <w:numId w:val="0"/>
              </w:numPr>
              <w:tabs>
                <w:tab w:val="left" w:pos="639"/>
              </w:tabs>
              <w:spacing w:line="240" w:lineRule="auto"/>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bidi="ar-SA"/>
              </w:rPr>
              <w:t>投标人需具备有效的</w:t>
            </w:r>
            <w:r>
              <w:rPr>
                <w:rFonts w:hint="eastAsia" w:ascii="仿宋_GB2312" w:hAnsi="仿宋_GB2312" w:eastAsia="仿宋_GB2312" w:cs="仿宋_GB2312"/>
                <w:kern w:val="0"/>
                <w:sz w:val="32"/>
                <w:szCs w:val="32"/>
                <w:lang w:val="zh-CN" w:eastAsia="zh-CN" w:bidi="ar-SA"/>
              </w:rPr>
              <w:t>市政公用工程施工总承包三级（含） 以上资质</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581DABF7">
      <w:pPr>
        <w:spacing w:line="600" w:lineRule="exact"/>
        <w:ind w:left="210" w:leftChars="100" w:firstLine="640" w:firstLineChars="200"/>
        <w:rPr>
          <w:rFonts w:hint="eastAsia" w:ascii="仿宋" w:hAnsi="仿宋" w:eastAsia="仿宋" w:cs="仿宋"/>
          <w:color w:val="000000"/>
          <w:kern w:val="2"/>
          <w:sz w:val="32"/>
          <w:szCs w:val="32"/>
          <w:u w:val="single"/>
          <w:lang w:val="en-US" w:eastAsia="zh-CN" w:bidi="ar-SA"/>
        </w:rPr>
      </w:pPr>
      <w:r>
        <w:rPr>
          <w:rFonts w:hint="eastAsia" w:ascii="仿宋" w:hAnsi="仿宋" w:eastAsia="仿宋" w:cs="仿宋"/>
          <w:color w:val="000000"/>
          <w:sz w:val="32"/>
          <w:szCs w:val="32"/>
        </w:rPr>
        <w:t>（一）项目基本情况介绍：</w:t>
      </w:r>
      <w:r>
        <w:rPr>
          <w:rFonts w:hint="eastAsia" w:ascii="仿宋" w:hAnsi="仿宋" w:eastAsia="仿宋" w:cs="仿宋"/>
          <w:color w:val="000000"/>
          <w:sz w:val="32"/>
          <w:szCs w:val="32"/>
          <w:u w:val="single"/>
        </w:rPr>
        <w:t xml:space="preserve">  </w:t>
      </w:r>
      <w:r>
        <w:rPr>
          <w:rFonts w:hint="eastAsia" w:ascii="仿宋" w:hAnsi="仿宋" w:eastAsia="仿宋" w:cs="仿宋"/>
          <w:color w:val="000000"/>
          <w:kern w:val="2"/>
          <w:sz w:val="32"/>
          <w:szCs w:val="32"/>
          <w:u w:val="single"/>
          <w:lang w:val="en-US" w:eastAsia="zh-CN" w:bidi="ar-SA"/>
        </w:rPr>
        <w:t>目前东胜院区院内供水管网与4栋职工家属楼共计156户居民用水管道存在混接共用现象，其中西住宅区3栋126户、东住宅区1栋30户，院区与家属区两套供水体系未实现完全独立分隔。长期共用管道不仅造成用水计量不清、水费核算混乱、管网管理权责不明确，还存在水质交叉污染、供水压力不稳定、突发漏水故障排查困难、应急供水保障能力不足等安全隐患。</w:t>
      </w:r>
    </w:p>
    <w:p w14:paraId="404C050E">
      <w:pPr>
        <w:widowControl w:val="0"/>
        <w:spacing w:after="120" w:line="360" w:lineRule="auto"/>
        <w:ind w:left="0" w:leftChars="0" w:firstLine="640" w:firstLineChars="200"/>
        <w:jc w:val="both"/>
        <w:rPr>
          <w:rFonts w:hint="eastAsia" w:ascii="仿宋" w:hAnsi="仿宋" w:eastAsia="仿宋" w:cs="仿宋"/>
          <w:color w:val="000000"/>
          <w:kern w:val="2"/>
          <w:sz w:val="32"/>
          <w:szCs w:val="32"/>
          <w:u w:val="single"/>
          <w:lang w:val="en-US" w:eastAsia="zh-CN" w:bidi="zh-CN"/>
        </w:rPr>
      </w:pPr>
      <w:r>
        <w:rPr>
          <w:rFonts w:hint="eastAsia" w:ascii="仿宋" w:hAnsi="仿宋" w:eastAsia="仿宋" w:cs="仿宋"/>
          <w:b w:val="0"/>
          <w:i w:val="0"/>
          <w:strike w:val="0"/>
          <w:color w:val="auto"/>
          <w:sz w:val="32"/>
          <w:szCs w:val="32"/>
          <w:u w:val="single"/>
          <w:lang w:val="en-US" w:eastAsia="zh-CN"/>
        </w:rPr>
        <w:t>为规范医院供水管理，保障医疗业务用水安全稳定，明确家属楼居民生活用水权属，消除管网混接带来的各类安全风险，现计划对现有混接供水管网进行专项改造，将医院业务用水管网与家属楼生活用水管网彻底分离、独立铺设、单独管控，实现两套系统独立运行、互不干扰，项目预算550000元。</w:t>
      </w:r>
    </w:p>
    <w:p w14:paraId="721FD28D">
      <w:pPr>
        <w:spacing w:line="360" w:lineRule="auto"/>
        <w:jc w:val="left"/>
        <w:rPr>
          <w:rFonts w:hint="eastAsia" w:ascii="仿宋" w:hAnsi="仿宋" w:eastAsia="仿宋" w:cs="仿宋"/>
          <w:color w:val="000000"/>
          <w:sz w:val="32"/>
          <w:szCs w:val="32"/>
        </w:rPr>
      </w:pPr>
    </w:p>
    <w:p w14:paraId="54B89272">
      <w:pPr>
        <w:spacing w:line="360" w:lineRule="auto"/>
        <w:jc w:val="left"/>
        <w:rPr>
          <w:rFonts w:hint="eastAsia" w:ascii="仿宋" w:hAnsi="仿宋" w:eastAsia="仿宋" w:cs="仿宋"/>
          <w:color w:val="000000"/>
          <w:sz w:val="32"/>
          <w:szCs w:val="32"/>
        </w:rPr>
      </w:pPr>
      <w:r>
        <w:rPr>
          <w:rFonts w:hint="eastAsia" w:ascii="仿宋" w:hAnsi="仿宋" w:eastAsia="仿宋" w:cs="仿宋"/>
          <w:color w:val="000000"/>
          <w:sz w:val="32"/>
          <w:szCs w:val="32"/>
        </w:rPr>
        <w:t>（二）技术参数和要求（功能和质量）</w:t>
      </w:r>
    </w:p>
    <w:tbl>
      <w:tblPr>
        <w:tblStyle w:val="12"/>
        <w:tblW w:w="9810" w:type="dxa"/>
        <w:jc w:val="center"/>
        <w:tblLayout w:type="fixed"/>
        <w:tblCellMar>
          <w:top w:w="0" w:type="dxa"/>
          <w:left w:w="108" w:type="dxa"/>
          <w:bottom w:w="0" w:type="dxa"/>
          <w:right w:w="108" w:type="dxa"/>
        </w:tblCellMar>
      </w:tblPr>
      <w:tblGrid>
        <w:gridCol w:w="1555"/>
        <w:gridCol w:w="1134"/>
        <w:gridCol w:w="7121"/>
      </w:tblGrid>
      <w:tr w14:paraId="54F6388F">
        <w:tblPrEx>
          <w:tblCellMar>
            <w:top w:w="0" w:type="dxa"/>
            <w:left w:w="108" w:type="dxa"/>
            <w:bottom w:w="0" w:type="dxa"/>
            <w:right w:w="108" w:type="dxa"/>
          </w:tblCellMar>
        </w:tblPrEx>
        <w:trPr>
          <w:trHeight w:val="539"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5135857">
            <w:pPr>
              <w:widowControl/>
              <w:jc w:val="center"/>
              <w:rPr>
                <w:rFonts w:ascii="宋体" w:hAnsi="宋体" w:eastAsia="宋体" w:cs="宋体"/>
                <w:sz w:val="32"/>
                <w:szCs w:val="32"/>
              </w:rPr>
            </w:pPr>
            <w:r>
              <w:rPr>
                <w:rFonts w:hint="eastAsia" w:ascii="宋体" w:hAnsi="宋体" w:eastAsia="宋体" w:cs="宋体"/>
                <w:sz w:val="32"/>
                <w:szCs w:val="32"/>
              </w:rPr>
              <w:t>参数性质</w:t>
            </w:r>
          </w:p>
        </w:tc>
        <w:tc>
          <w:tcPr>
            <w:tcW w:w="1134" w:type="dxa"/>
            <w:tcBorders>
              <w:top w:val="single" w:color="auto" w:sz="4" w:space="0"/>
              <w:left w:val="nil"/>
              <w:bottom w:val="single" w:color="auto" w:sz="4" w:space="0"/>
              <w:right w:val="single" w:color="auto" w:sz="4" w:space="0"/>
            </w:tcBorders>
            <w:vAlign w:val="center"/>
          </w:tcPr>
          <w:p w14:paraId="2A8FED72">
            <w:pPr>
              <w:widowControl/>
              <w:jc w:val="center"/>
              <w:rPr>
                <w:rFonts w:ascii="宋体" w:hAnsi="宋体" w:eastAsia="宋体" w:cs="宋体"/>
                <w:sz w:val="32"/>
                <w:szCs w:val="32"/>
              </w:rPr>
            </w:pPr>
            <w:r>
              <w:rPr>
                <w:rFonts w:hint="eastAsia" w:ascii="宋体" w:hAnsi="宋体" w:eastAsia="宋体" w:cs="宋体"/>
                <w:sz w:val="32"/>
                <w:szCs w:val="32"/>
              </w:rPr>
              <w:t>编号</w:t>
            </w:r>
          </w:p>
        </w:tc>
        <w:tc>
          <w:tcPr>
            <w:tcW w:w="7121" w:type="dxa"/>
            <w:tcBorders>
              <w:top w:val="single" w:color="auto" w:sz="4" w:space="0"/>
              <w:left w:val="nil"/>
              <w:bottom w:val="single" w:color="auto" w:sz="4" w:space="0"/>
              <w:right w:val="single" w:color="auto" w:sz="4" w:space="0"/>
            </w:tcBorders>
            <w:vAlign w:val="center"/>
          </w:tcPr>
          <w:p w14:paraId="0FEDC91C">
            <w:pPr>
              <w:widowControl/>
              <w:jc w:val="center"/>
              <w:rPr>
                <w:rFonts w:ascii="宋体" w:hAnsi="宋体" w:eastAsia="宋体" w:cs="宋体"/>
                <w:sz w:val="32"/>
                <w:szCs w:val="32"/>
              </w:rPr>
            </w:pPr>
            <w:r>
              <w:rPr>
                <w:rFonts w:hint="eastAsia" w:ascii="宋体" w:hAnsi="宋体" w:eastAsia="宋体" w:cs="宋体"/>
                <w:sz w:val="32"/>
                <w:szCs w:val="32"/>
              </w:rPr>
              <w:t>技术参数和要求</w:t>
            </w:r>
          </w:p>
        </w:tc>
      </w:tr>
      <w:tr w14:paraId="5C9D5E6E">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7E6D65E">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5381449B">
            <w:pPr>
              <w:widowControl/>
              <w:jc w:val="center"/>
              <w:rPr>
                <w:rFonts w:ascii="宋体" w:hAnsi="宋体" w:eastAsia="宋体" w:cs="宋体"/>
                <w:sz w:val="32"/>
                <w:szCs w:val="32"/>
              </w:rPr>
            </w:pPr>
            <w:r>
              <w:rPr>
                <w:rFonts w:hint="eastAsia" w:ascii="宋体" w:hAnsi="宋体" w:eastAsia="宋体" w:cs="宋体"/>
                <w:sz w:val="32"/>
                <w:szCs w:val="32"/>
              </w:rPr>
              <w:t>1</w:t>
            </w:r>
          </w:p>
        </w:tc>
        <w:tc>
          <w:tcPr>
            <w:tcW w:w="7121" w:type="dxa"/>
            <w:tcBorders>
              <w:top w:val="single" w:color="auto" w:sz="4" w:space="0"/>
              <w:left w:val="nil"/>
              <w:bottom w:val="single" w:color="auto" w:sz="4" w:space="0"/>
              <w:right w:val="single" w:color="auto" w:sz="4" w:space="0"/>
            </w:tcBorders>
            <w:vAlign w:val="center"/>
          </w:tcPr>
          <w:p w14:paraId="59CDA70D">
            <w:pPr>
              <w:widowControl/>
              <w:jc w:val="left"/>
              <w:rPr>
                <w:rFonts w:ascii="宋体" w:hAnsi="宋体" w:eastAsia="宋体" w:cs="宋体"/>
                <w:sz w:val="32"/>
                <w:szCs w:val="32"/>
              </w:rPr>
            </w:pPr>
            <w:r>
              <w:rPr>
                <w:rFonts w:ascii="宋体" w:hAnsi="宋体" w:eastAsia="宋体" w:cs="宋体"/>
                <w:sz w:val="24"/>
                <w:szCs w:val="24"/>
              </w:rPr>
              <w:t>改造完成后，医院医疗供水系统、家属居民生活供水系统无任何管道、阀门、连通管件交叉混接，设置永久隔断措施，严禁预留连通接口；原有混接连通管道全部拆除、封堵、断管隔离。</w:t>
            </w:r>
          </w:p>
        </w:tc>
      </w:tr>
      <w:tr w14:paraId="16FD5BC4">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1AF3019">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56921F94">
            <w:pPr>
              <w:widowControl/>
              <w:jc w:val="center"/>
              <w:rPr>
                <w:rFonts w:ascii="宋体" w:hAnsi="宋体" w:eastAsia="宋体" w:cs="宋体"/>
                <w:sz w:val="32"/>
                <w:szCs w:val="32"/>
              </w:rPr>
            </w:pPr>
            <w:r>
              <w:rPr>
                <w:rFonts w:hint="eastAsia" w:ascii="宋体" w:hAnsi="宋体" w:eastAsia="宋体" w:cs="宋体"/>
                <w:sz w:val="32"/>
                <w:szCs w:val="32"/>
              </w:rPr>
              <w:t>2</w:t>
            </w:r>
          </w:p>
        </w:tc>
        <w:tc>
          <w:tcPr>
            <w:tcW w:w="7121" w:type="dxa"/>
            <w:tcBorders>
              <w:top w:val="single" w:color="auto" w:sz="4" w:space="0"/>
              <w:left w:val="nil"/>
              <w:bottom w:val="single" w:color="auto" w:sz="4" w:space="0"/>
              <w:right w:val="single" w:color="auto" w:sz="4" w:space="0"/>
            </w:tcBorders>
            <w:vAlign w:val="center"/>
          </w:tcPr>
          <w:p w14:paraId="41B7784B">
            <w:pPr>
              <w:tabs>
                <w:tab w:val="left" w:pos="1193"/>
              </w:tabs>
              <w:jc w:val="left"/>
              <w:rPr>
                <w:rFonts w:hint="eastAsia" w:ascii="宋体" w:hAnsi="宋体" w:eastAsia="宋体" w:cs="宋体"/>
                <w:sz w:val="32"/>
                <w:szCs w:val="32"/>
                <w:lang w:eastAsia="zh-CN"/>
              </w:rPr>
            </w:pPr>
            <w:r>
              <w:rPr>
                <w:rFonts w:ascii="宋体" w:hAnsi="宋体" w:eastAsia="宋体" w:cs="宋体"/>
                <w:sz w:val="24"/>
                <w:szCs w:val="24"/>
              </w:rPr>
              <w:t>医院院区单独接入市政市政供水取水点；家属楼统一新设独立市政生活供水支管，单独对接市政生活供水接口，两套水源完全分开。</w:t>
            </w:r>
          </w:p>
        </w:tc>
      </w:tr>
      <w:tr w14:paraId="12450879">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7881A15">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2271B536">
            <w:pPr>
              <w:widowControl/>
              <w:jc w:val="center"/>
              <w:rPr>
                <w:rFonts w:ascii="宋体" w:hAnsi="宋体" w:eastAsia="宋体" w:cs="宋体"/>
                <w:sz w:val="32"/>
                <w:szCs w:val="32"/>
              </w:rPr>
            </w:pPr>
            <w:r>
              <w:rPr>
                <w:rFonts w:hint="eastAsia" w:ascii="宋体" w:hAnsi="宋体" w:eastAsia="宋体" w:cs="宋体"/>
                <w:sz w:val="32"/>
                <w:szCs w:val="32"/>
              </w:rPr>
              <w:t>3</w:t>
            </w:r>
          </w:p>
        </w:tc>
        <w:tc>
          <w:tcPr>
            <w:tcW w:w="7121" w:type="dxa"/>
            <w:tcBorders>
              <w:top w:val="single" w:color="auto" w:sz="4" w:space="0"/>
              <w:left w:val="nil"/>
              <w:bottom w:val="single" w:color="auto" w:sz="4" w:space="0"/>
              <w:right w:val="single" w:color="auto" w:sz="4" w:space="0"/>
            </w:tcBorders>
            <w:vAlign w:val="center"/>
          </w:tcPr>
          <w:p w14:paraId="1D51891D">
            <w:pPr>
              <w:jc w:val="left"/>
              <w:rPr>
                <w:rFonts w:ascii="宋体" w:hAnsi="宋体" w:eastAsia="宋体" w:cs="宋体"/>
                <w:sz w:val="32"/>
                <w:szCs w:val="32"/>
              </w:rPr>
            </w:pPr>
            <w:r>
              <w:rPr>
                <w:rFonts w:ascii="宋体" w:hAnsi="宋体" w:eastAsia="宋体" w:cs="宋体"/>
                <w:sz w:val="24"/>
                <w:szCs w:val="24"/>
              </w:rPr>
              <w:t>医疗用水总表、分区域分项计量水表单独设置；每户家属楼居民分户独立智能水表，家属区设置总计量表，医院与家属区水费核算完全分离。</w:t>
            </w:r>
          </w:p>
        </w:tc>
      </w:tr>
      <w:tr w14:paraId="7BAAC92D">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A340D04">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6B50D976">
            <w:pPr>
              <w:widowControl/>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w:t>
            </w:r>
          </w:p>
        </w:tc>
        <w:tc>
          <w:tcPr>
            <w:tcW w:w="7121" w:type="dxa"/>
            <w:tcBorders>
              <w:top w:val="single" w:color="auto" w:sz="4" w:space="0"/>
              <w:left w:val="nil"/>
              <w:bottom w:val="single" w:color="auto" w:sz="4" w:space="0"/>
              <w:right w:val="single" w:color="auto" w:sz="4" w:space="0"/>
            </w:tcBorders>
            <w:vAlign w:val="center"/>
          </w:tcPr>
          <w:p w14:paraId="078FE892">
            <w:pPr>
              <w:jc w:val="left"/>
              <w:rPr>
                <w:rFonts w:hint="eastAsia" w:ascii="宋体" w:hAnsi="宋体" w:eastAsia="宋体" w:cs="宋体"/>
                <w:sz w:val="32"/>
                <w:szCs w:val="32"/>
              </w:rPr>
            </w:pPr>
            <w:r>
              <w:rPr>
                <w:rFonts w:ascii="宋体" w:hAnsi="宋体" w:eastAsia="宋体" w:cs="宋体"/>
                <w:sz w:val="24"/>
                <w:szCs w:val="24"/>
              </w:rPr>
              <w:t>医疗供水管网增设独立应急供水旁路、应急阀门、泄水、排气设施；家属区管网独立设置检修切断阀，单侧检修不互相影响供水。</w:t>
            </w:r>
          </w:p>
        </w:tc>
      </w:tr>
      <w:tr w14:paraId="339F46EE">
        <w:tblPrEx>
          <w:tblCellMar>
            <w:top w:w="0" w:type="dxa"/>
            <w:left w:w="108" w:type="dxa"/>
            <w:bottom w:w="0" w:type="dxa"/>
            <w:right w:w="108" w:type="dxa"/>
          </w:tblCellMar>
        </w:tblPrEx>
        <w:trPr>
          <w:trHeight w:val="598"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0169ED4">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642B843D">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5</w:t>
            </w:r>
          </w:p>
        </w:tc>
        <w:tc>
          <w:tcPr>
            <w:tcW w:w="7121" w:type="dxa"/>
            <w:tcBorders>
              <w:top w:val="single" w:color="auto" w:sz="4" w:space="0"/>
              <w:left w:val="nil"/>
              <w:bottom w:val="single" w:color="auto" w:sz="4" w:space="0"/>
              <w:right w:val="single" w:color="auto" w:sz="4" w:space="0"/>
            </w:tcBorders>
            <w:vAlign w:val="center"/>
          </w:tcPr>
          <w:p w14:paraId="230D64C4">
            <w:pPr>
              <w:jc w:val="left"/>
              <w:rPr>
                <w:rFonts w:hint="eastAsia" w:ascii="宋体" w:hAnsi="宋体" w:eastAsia="宋体" w:cs="宋体"/>
                <w:sz w:val="32"/>
                <w:szCs w:val="32"/>
                <w:lang w:eastAsia="zh-CN"/>
              </w:rPr>
            </w:pPr>
            <w:r>
              <w:rPr>
                <w:rFonts w:ascii="宋体" w:hAnsi="宋体" w:eastAsia="宋体" w:cs="宋体"/>
                <w:sz w:val="24"/>
                <w:szCs w:val="24"/>
              </w:rPr>
              <w:t>医院为医疗运营场所，施工不得影响急诊、住院、手术、检验等核心业务正常开展；居民住宅施工错峰作业，最大限度减少居民停水时长。</w:t>
            </w:r>
          </w:p>
        </w:tc>
      </w:tr>
      <w:tr w14:paraId="5ADCF1FA">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6FC956A">
            <w:pPr>
              <w:widowControl/>
              <w:jc w:val="center"/>
              <w:rPr>
                <w:rFonts w:ascii="宋体" w:hAnsi="宋体" w:eastAsia="宋体" w:cs="宋体"/>
                <w:sz w:val="32"/>
                <w:szCs w:val="32"/>
              </w:rPr>
            </w:pPr>
          </w:p>
        </w:tc>
        <w:tc>
          <w:tcPr>
            <w:tcW w:w="1134" w:type="dxa"/>
            <w:tcBorders>
              <w:top w:val="single" w:color="auto" w:sz="4" w:space="0"/>
              <w:left w:val="nil"/>
              <w:bottom w:val="single" w:color="auto" w:sz="4" w:space="0"/>
              <w:right w:val="single" w:color="auto" w:sz="4" w:space="0"/>
            </w:tcBorders>
            <w:vAlign w:val="center"/>
          </w:tcPr>
          <w:p w14:paraId="70C9D4BB">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6</w:t>
            </w:r>
          </w:p>
        </w:tc>
        <w:tc>
          <w:tcPr>
            <w:tcW w:w="7121" w:type="dxa"/>
            <w:tcBorders>
              <w:top w:val="single" w:color="auto" w:sz="4" w:space="0"/>
              <w:left w:val="nil"/>
              <w:bottom w:val="single" w:color="auto" w:sz="4" w:space="0"/>
              <w:right w:val="single" w:color="auto" w:sz="4" w:space="0"/>
            </w:tcBorders>
            <w:vAlign w:val="center"/>
          </w:tcPr>
          <w:p w14:paraId="6BB9E48D">
            <w:pPr>
              <w:jc w:val="left"/>
              <w:rPr>
                <w:rFonts w:hint="eastAsia" w:ascii="宋体" w:hAnsi="宋体" w:eastAsia="宋体" w:cs="宋体"/>
                <w:sz w:val="32"/>
                <w:szCs w:val="32"/>
                <w:lang w:eastAsia="zh-CN"/>
              </w:rPr>
            </w:pPr>
            <w:r>
              <w:rPr>
                <w:rFonts w:ascii="宋体" w:hAnsi="宋体" w:eastAsia="宋体" w:cs="宋体"/>
                <w:sz w:val="24"/>
                <w:szCs w:val="24"/>
              </w:rPr>
              <w:t>根据水力计算确定主管、支管管径，投标人需现场踏勘后出具完整水力计算书；管道环网、分支管满足医院高峰医疗用水、居民早晚用水高峰流量需求。</w:t>
            </w:r>
          </w:p>
        </w:tc>
      </w:tr>
      <w:tr w14:paraId="500D13BD">
        <w:tblPrEx>
          <w:tblCellMar>
            <w:top w:w="0" w:type="dxa"/>
            <w:left w:w="108" w:type="dxa"/>
            <w:bottom w:w="0" w:type="dxa"/>
            <w:right w:w="108" w:type="dxa"/>
          </w:tblCellMar>
        </w:tblPrEx>
        <w:trPr>
          <w:trHeight w:val="636"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23E3166">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051BA906">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7</w:t>
            </w:r>
          </w:p>
        </w:tc>
        <w:tc>
          <w:tcPr>
            <w:tcW w:w="7121" w:type="dxa"/>
            <w:tcBorders>
              <w:top w:val="single" w:color="auto" w:sz="4" w:space="0"/>
              <w:left w:val="nil"/>
              <w:bottom w:val="single" w:color="auto" w:sz="4" w:space="0"/>
              <w:right w:val="single" w:color="auto" w:sz="4" w:space="0"/>
            </w:tcBorders>
            <w:vAlign w:val="center"/>
          </w:tcPr>
          <w:p w14:paraId="3EAC40BB">
            <w:pPr>
              <w:jc w:val="left"/>
              <w:rPr>
                <w:rFonts w:hint="default" w:ascii="宋体" w:hAnsi="宋体" w:eastAsia="宋体" w:cs="宋体"/>
                <w:sz w:val="32"/>
                <w:szCs w:val="32"/>
                <w:lang w:val="en-US"/>
              </w:rPr>
            </w:pPr>
            <w:r>
              <w:rPr>
                <w:rFonts w:ascii="宋体" w:hAnsi="宋体" w:eastAsia="宋体" w:cs="宋体"/>
                <w:sz w:val="24"/>
                <w:szCs w:val="24"/>
              </w:rPr>
              <w:t>管材壁厚均匀，无裂纹、气泡、杂质，热熔焊接性能稳定。</w:t>
            </w:r>
          </w:p>
        </w:tc>
      </w:tr>
      <w:tr w14:paraId="0657991B">
        <w:tblPrEx>
          <w:tblCellMar>
            <w:top w:w="0" w:type="dxa"/>
            <w:left w:w="108" w:type="dxa"/>
            <w:bottom w:w="0" w:type="dxa"/>
            <w:right w:w="108" w:type="dxa"/>
          </w:tblCellMar>
        </w:tblPrEx>
        <w:trPr>
          <w:trHeight w:val="82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362A4C14">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0745CFC5">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8</w:t>
            </w:r>
          </w:p>
        </w:tc>
        <w:tc>
          <w:tcPr>
            <w:tcW w:w="7121" w:type="dxa"/>
            <w:tcBorders>
              <w:top w:val="single" w:color="auto" w:sz="4" w:space="0"/>
              <w:left w:val="nil"/>
              <w:bottom w:val="single" w:color="auto" w:sz="4" w:space="0"/>
              <w:right w:val="single" w:color="auto" w:sz="4" w:space="0"/>
            </w:tcBorders>
            <w:vAlign w:val="center"/>
          </w:tcPr>
          <w:p w14:paraId="4F67EFBF">
            <w:pPr>
              <w:jc w:val="left"/>
              <w:rPr>
                <w:rFonts w:hint="eastAsia" w:ascii="宋体" w:hAnsi="宋体" w:eastAsia="宋体" w:cs="宋体"/>
                <w:sz w:val="32"/>
                <w:szCs w:val="32"/>
                <w:lang w:eastAsia="zh-CN"/>
              </w:rPr>
            </w:pPr>
            <w:r>
              <w:rPr>
                <w:rFonts w:ascii="宋体" w:hAnsi="宋体" w:eastAsia="宋体" w:cs="宋体"/>
                <w:sz w:val="24"/>
                <w:szCs w:val="24"/>
              </w:rPr>
              <w:t>管件：同品牌注塑成型管件（弯头、三通、直接、异径管、法兰），禁止使用再生料管件；埋地钢塑转换件采用防腐加厚不锈钢衬套。</w:t>
            </w:r>
          </w:p>
        </w:tc>
      </w:tr>
      <w:tr w14:paraId="44BF3687">
        <w:tblPrEx>
          <w:tblCellMar>
            <w:top w:w="0" w:type="dxa"/>
            <w:left w:w="108" w:type="dxa"/>
            <w:bottom w:w="0" w:type="dxa"/>
            <w:right w:w="108" w:type="dxa"/>
          </w:tblCellMar>
        </w:tblPrEx>
        <w:trPr>
          <w:trHeight w:val="78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604E73A">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4638FD8C">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9</w:t>
            </w:r>
          </w:p>
        </w:tc>
        <w:tc>
          <w:tcPr>
            <w:tcW w:w="7121" w:type="dxa"/>
            <w:tcBorders>
              <w:top w:val="single" w:color="auto" w:sz="4" w:space="0"/>
              <w:left w:val="nil"/>
              <w:bottom w:val="single" w:color="auto" w:sz="4" w:space="0"/>
              <w:right w:val="single" w:color="auto" w:sz="4" w:space="0"/>
            </w:tcBorders>
            <w:vAlign w:val="center"/>
          </w:tcPr>
          <w:p w14:paraId="6BABA18B">
            <w:pPr>
              <w:jc w:val="left"/>
              <w:rPr>
                <w:rFonts w:hint="eastAsia" w:ascii="宋体" w:hAnsi="宋体" w:eastAsia="宋体" w:cs="宋体"/>
                <w:sz w:val="32"/>
                <w:szCs w:val="32"/>
                <w:lang w:eastAsia="zh-CN"/>
              </w:rPr>
            </w:pPr>
            <w:r>
              <w:rPr>
                <w:rFonts w:ascii="宋体" w:hAnsi="宋体" w:eastAsia="宋体" w:cs="宋体"/>
                <w:sz w:val="24"/>
                <w:szCs w:val="24"/>
              </w:rPr>
              <w:t>楼栋立管：PPR 热水 / 冷水管，S3.2 系列，公称压力 1.6MPa，原厂配套管件，带防伪标识，涉水卫生检测报告齐全。</w:t>
            </w:r>
          </w:p>
        </w:tc>
      </w:tr>
      <w:tr w14:paraId="2C1874A1">
        <w:tblPrEx>
          <w:tblCellMar>
            <w:top w:w="0" w:type="dxa"/>
            <w:left w:w="108" w:type="dxa"/>
            <w:bottom w:w="0" w:type="dxa"/>
            <w:right w:w="108" w:type="dxa"/>
          </w:tblCellMar>
        </w:tblPrEx>
        <w:trPr>
          <w:trHeight w:val="96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DBB9424">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35F67787">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10</w:t>
            </w:r>
          </w:p>
        </w:tc>
        <w:tc>
          <w:tcPr>
            <w:tcW w:w="7121" w:type="dxa"/>
            <w:tcBorders>
              <w:top w:val="single" w:color="auto" w:sz="4" w:space="0"/>
              <w:left w:val="nil"/>
              <w:bottom w:val="single" w:color="auto" w:sz="4" w:space="0"/>
              <w:right w:val="single" w:color="auto" w:sz="4" w:space="0"/>
            </w:tcBorders>
            <w:vAlign w:val="center"/>
          </w:tcPr>
          <w:p w14:paraId="51EA1FE6">
            <w:pPr>
              <w:jc w:val="left"/>
              <w:rPr>
                <w:rFonts w:hint="eastAsia" w:ascii="宋体" w:hAnsi="宋体" w:eastAsia="宋体" w:cs="宋体"/>
                <w:sz w:val="32"/>
                <w:szCs w:val="32"/>
                <w:lang w:eastAsia="zh-CN"/>
              </w:rPr>
            </w:pPr>
            <w:r>
              <w:rPr>
                <w:rFonts w:ascii="宋体" w:hAnsi="宋体" w:eastAsia="宋体" w:cs="宋体"/>
                <w:sz w:val="24"/>
                <w:szCs w:val="24"/>
              </w:rPr>
              <w:t>居民入户分户支管：PPR 给水管，每户独立铺设，全部暗敷或沿楼道规整明装，做保温防护。</w:t>
            </w:r>
          </w:p>
        </w:tc>
      </w:tr>
      <w:tr w14:paraId="2730F20B">
        <w:tblPrEx>
          <w:tblCellMar>
            <w:top w:w="0" w:type="dxa"/>
            <w:left w:w="108" w:type="dxa"/>
            <w:bottom w:w="0" w:type="dxa"/>
            <w:right w:w="108" w:type="dxa"/>
          </w:tblCellMar>
        </w:tblPrEx>
        <w:trPr>
          <w:trHeight w:val="1276"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96E6EBE">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7F556133">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11</w:t>
            </w:r>
          </w:p>
        </w:tc>
        <w:tc>
          <w:tcPr>
            <w:tcW w:w="7121" w:type="dxa"/>
            <w:tcBorders>
              <w:top w:val="single" w:color="auto" w:sz="4" w:space="0"/>
              <w:left w:val="nil"/>
              <w:bottom w:val="single" w:color="auto" w:sz="4" w:space="0"/>
              <w:right w:val="single" w:color="auto" w:sz="4" w:space="0"/>
            </w:tcBorders>
            <w:vAlign w:val="center"/>
          </w:tcPr>
          <w:p w14:paraId="53294FA5">
            <w:pPr>
              <w:jc w:val="left"/>
              <w:rPr>
                <w:rFonts w:hint="eastAsia" w:ascii="宋体" w:hAnsi="宋体" w:eastAsia="宋体" w:cs="宋体"/>
                <w:sz w:val="32"/>
                <w:szCs w:val="32"/>
                <w:lang w:eastAsia="zh-CN"/>
              </w:rPr>
            </w:pPr>
            <w:r>
              <w:rPr>
                <w:rFonts w:ascii="宋体" w:hAnsi="宋体" w:eastAsia="宋体" w:cs="宋体"/>
                <w:sz w:val="24"/>
                <w:szCs w:val="24"/>
              </w:rPr>
              <w:t>室外总阀、分区切断阀：法兰式球墨铸铁闸阀 / 全通径球阀，压力 1.6MPa，阀体内衬食品级橡胶，带启闭刻度、锁闭装置，埋地阀门配套阀门井。</w:t>
            </w:r>
          </w:p>
        </w:tc>
      </w:tr>
      <w:tr w14:paraId="31E1C060">
        <w:tblPrEx>
          <w:tblCellMar>
            <w:top w:w="0" w:type="dxa"/>
            <w:left w:w="108" w:type="dxa"/>
            <w:bottom w:w="0" w:type="dxa"/>
            <w:right w:w="108" w:type="dxa"/>
          </w:tblCellMar>
        </w:tblPrEx>
        <w:trPr>
          <w:trHeight w:val="926"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481DCE8">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589C5D8F">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12</w:t>
            </w:r>
          </w:p>
        </w:tc>
        <w:tc>
          <w:tcPr>
            <w:tcW w:w="7121" w:type="dxa"/>
            <w:tcBorders>
              <w:top w:val="single" w:color="auto" w:sz="4" w:space="0"/>
              <w:left w:val="nil"/>
              <w:bottom w:val="single" w:color="auto" w:sz="4" w:space="0"/>
              <w:right w:val="single" w:color="auto" w:sz="4" w:space="0"/>
            </w:tcBorders>
            <w:vAlign w:val="center"/>
          </w:tcPr>
          <w:p w14:paraId="27AE1C32">
            <w:pPr>
              <w:jc w:val="left"/>
              <w:rPr>
                <w:rFonts w:hint="eastAsia" w:ascii="宋体" w:hAnsi="宋体" w:eastAsia="宋体" w:cs="宋体"/>
                <w:sz w:val="32"/>
                <w:szCs w:val="32"/>
                <w:lang w:eastAsia="zh-CN"/>
              </w:rPr>
            </w:pPr>
            <w:r>
              <w:rPr>
                <w:rFonts w:ascii="宋体" w:hAnsi="宋体" w:eastAsia="宋体" w:cs="宋体"/>
                <w:sz w:val="24"/>
                <w:szCs w:val="24"/>
              </w:rPr>
              <w:t>分户锁闭阀：每户入户设置专用锁闭调节阀，供水单位可单独开关单户用水，便于分户检修、水费管控。</w:t>
            </w:r>
          </w:p>
        </w:tc>
      </w:tr>
      <w:tr w14:paraId="10636CD3">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947C9AB">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66F90E52">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13</w:t>
            </w:r>
          </w:p>
        </w:tc>
        <w:tc>
          <w:tcPr>
            <w:tcW w:w="7121" w:type="dxa"/>
            <w:tcBorders>
              <w:top w:val="single" w:color="auto" w:sz="4" w:space="0"/>
              <w:left w:val="nil"/>
              <w:bottom w:val="single" w:color="auto" w:sz="4" w:space="0"/>
              <w:right w:val="single" w:color="auto" w:sz="4" w:space="0"/>
            </w:tcBorders>
            <w:vAlign w:val="center"/>
          </w:tcPr>
          <w:p w14:paraId="28745742">
            <w:pPr>
              <w:jc w:val="left"/>
              <w:rPr>
                <w:rFonts w:hint="eastAsia" w:ascii="宋体" w:hAnsi="宋体" w:eastAsia="宋体" w:cs="宋体"/>
                <w:sz w:val="32"/>
                <w:szCs w:val="32"/>
                <w:lang w:eastAsia="zh-CN"/>
              </w:rPr>
            </w:pPr>
            <w:r>
              <w:rPr>
                <w:rFonts w:ascii="宋体" w:hAnsi="宋体" w:eastAsia="宋体" w:cs="宋体"/>
                <w:sz w:val="24"/>
                <w:szCs w:val="24"/>
              </w:rPr>
              <w:t>排气阀、泄水阀：管网高点设置自动排气阀，低点设置泄水排污阀，两套供水系统分别独立配置，不得共用。</w:t>
            </w:r>
          </w:p>
        </w:tc>
      </w:tr>
      <w:tr w14:paraId="29E93790">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2D744C0">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7CD534C2">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14</w:t>
            </w:r>
          </w:p>
        </w:tc>
        <w:tc>
          <w:tcPr>
            <w:tcW w:w="7121" w:type="dxa"/>
            <w:tcBorders>
              <w:top w:val="single" w:color="auto" w:sz="4" w:space="0"/>
              <w:left w:val="nil"/>
              <w:bottom w:val="single" w:color="auto" w:sz="4" w:space="0"/>
              <w:right w:val="single" w:color="auto" w:sz="4" w:space="0"/>
            </w:tcBorders>
            <w:vAlign w:val="center"/>
          </w:tcPr>
          <w:p w14:paraId="1EE31C44">
            <w:pPr>
              <w:jc w:val="left"/>
              <w:rPr>
                <w:rFonts w:hint="eastAsia" w:ascii="宋体" w:hAnsi="宋体" w:eastAsia="宋体" w:cs="宋体"/>
                <w:sz w:val="32"/>
                <w:szCs w:val="32"/>
                <w:lang w:eastAsia="zh-CN"/>
              </w:rPr>
            </w:pPr>
            <w:r>
              <w:rPr>
                <w:rFonts w:ascii="宋体" w:hAnsi="宋体" w:eastAsia="宋体" w:cs="宋体"/>
                <w:sz w:val="24"/>
                <w:szCs w:val="24"/>
              </w:rPr>
              <w:t>止回阀：市政接入总管安装防水锤止回阀，防止水压回流、水质倒灌交叉污染。</w:t>
            </w:r>
          </w:p>
        </w:tc>
      </w:tr>
      <w:tr w14:paraId="2B12E7CE">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7569A291">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6B95614B">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15</w:t>
            </w:r>
          </w:p>
        </w:tc>
        <w:tc>
          <w:tcPr>
            <w:tcW w:w="7121" w:type="dxa"/>
            <w:tcBorders>
              <w:top w:val="single" w:color="auto" w:sz="4" w:space="0"/>
              <w:left w:val="nil"/>
              <w:bottom w:val="single" w:color="auto" w:sz="4" w:space="0"/>
              <w:right w:val="single" w:color="auto" w:sz="4" w:space="0"/>
            </w:tcBorders>
            <w:vAlign w:val="center"/>
          </w:tcPr>
          <w:p w14:paraId="5FD7491F">
            <w:pPr>
              <w:jc w:val="left"/>
              <w:rPr>
                <w:rFonts w:hint="eastAsia" w:ascii="宋体" w:hAnsi="宋体" w:eastAsia="宋体" w:cs="宋体"/>
                <w:sz w:val="32"/>
                <w:szCs w:val="32"/>
                <w:lang w:eastAsia="zh-CN"/>
              </w:rPr>
            </w:pPr>
            <w:r>
              <w:rPr>
                <w:rFonts w:ascii="宋体" w:hAnsi="宋体" w:eastAsia="宋体" w:cs="宋体"/>
                <w:sz w:val="24"/>
                <w:szCs w:val="24"/>
              </w:rPr>
              <w:t>管道保温：室外埋地管道做聚氨酯保温 + 防腐保护层；楼道立管、室外明装管道加装阻燃橡塑保温，防冻裂，适配北方冬季低温环境。</w:t>
            </w:r>
          </w:p>
        </w:tc>
      </w:tr>
      <w:tr w14:paraId="2AB19373">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38B963C3">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33ADAE86">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16</w:t>
            </w:r>
          </w:p>
        </w:tc>
        <w:tc>
          <w:tcPr>
            <w:tcW w:w="7121" w:type="dxa"/>
            <w:tcBorders>
              <w:top w:val="single" w:color="auto" w:sz="4" w:space="0"/>
              <w:left w:val="nil"/>
              <w:bottom w:val="single" w:color="auto" w:sz="4" w:space="0"/>
              <w:right w:val="single" w:color="auto" w:sz="4" w:space="0"/>
            </w:tcBorders>
            <w:vAlign w:val="center"/>
          </w:tcPr>
          <w:p w14:paraId="7E5B7F59">
            <w:pPr>
              <w:jc w:val="left"/>
              <w:rPr>
                <w:rFonts w:hint="eastAsia" w:ascii="宋体" w:hAnsi="宋体" w:eastAsia="宋体" w:cs="宋体"/>
                <w:sz w:val="32"/>
                <w:szCs w:val="32"/>
                <w:lang w:eastAsia="zh-CN"/>
              </w:rPr>
            </w:pPr>
            <w:r>
              <w:rPr>
                <w:rFonts w:ascii="宋体" w:hAnsi="宋体" w:eastAsia="宋体" w:cs="宋体"/>
                <w:sz w:val="24"/>
                <w:szCs w:val="24"/>
              </w:rPr>
              <w:t>阀门井、水表井：混凝土标准检查井，防水、防渗、带盖板防盗，医院、家属区分区单独砌筑，标识清晰区分 。</w:t>
            </w:r>
          </w:p>
        </w:tc>
      </w:tr>
      <w:tr w14:paraId="4D0AF0E7">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7BD0315">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4CBCA82C">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17</w:t>
            </w:r>
          </w:p>
        </w:tc>
        <w:tc>
          <w:tcPr>
            <w:tcW w:w="7121" w:type="dxa"/>
            <w:tcBorders>
              <w:top w:val="single" w:color="auto" w:sz="4" w:space="0"/>
              <w:left w:val="nil"/>
              <w:bottom w:val="single" w:color="auto" w:sz="4" w:space="0"/>
              <w:right w:val="single" w:color="auto" w:sz="4" w:space="0"/>
            </w:tcBorders>
            <w:vAlign w:val="center"/>
          </w:tcPr>
          <w:p w14:paraId="200EF50C">
            <w:pPr>
              <w:jc w:val="left"/>
              <w:rPr>
                <w:rFonts w:hint="eastAsia" w:ascii="宋体" w:hAnsi="宋体" w:eastAsia="宋体" w:cs="宋体"/>
                <w:sz w:val="32"/>
                <w:szCs w:val="32"/>
                <w:lang w:eastAsia="zh-CN"/>
              </w:rPr>
            </w:pPr>
            <w:r>
              <w:rPr>
                <w:rFonts w:ascii="宋体" w:hAnsi="宋体" w:eastAsia="宋体" w:cs="宋体"/>
                <w:sz w:val="24"/>
                <w:szCs w:val="24"/>
              </w:rPr>
              <w:t>开挖深度满足本地冻土防冻要求，沟底平整夯实，清除石块、尖锐杂物；</w:t>
            </w:r>
          </w:p>
        </w:tc>
      </w:tr>
      <w:tr w14:paraId="4F8DFA98">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B99693C">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2BEB9C44">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18</w:t>
            </w:r>
          </w:p>
        </w:tc>
        <w:tc>
          <w:tcPr>
            <w:tcW w:w="7121" w:type="dxa"/>
            <w:tcBorders>
              <w:top w:val="single" w:color="auto" w:sz="4" w:space="0"/>
              <w:left w:val="nil"/>
              <w:bottom w:val="single" w:color="auto" w:sz="4" w:space="0"/>
              <w:right w:val="single" w:color="auto" w:sz="4" w:space="0"/>
            </w:tcBorders>
            <w:vAlign w:val="center"/>
          </w:tcPr>
          <w:p w14:paraId="1DB9AB83">
            <w:pPr>
              <w:jc w:val="left"/>
              <w:rPr>
                <w:rFonts w:hint="eastAsia" w:ascii="宋体" w:hAnsi="宋体" w:eastAsia="宋体" w:cs="宋体"/>
                <w:sz w:val="32"/>
                <w:szCs w:val="32"/>
                <w:lang w:eastAsia="zh-CN"/>
              </w:rPr>
            </w:pPr>
            <w:r>
              <w:rPr>
                <w:rFonts w:ascii="宋体" w:hAnsi="宋体" w:eastAsia="宋体" w:cs="宋体"/>
                <w:sz w:val="24"/>
                <w:szCs w:val="24"/>
              </w:rPr>
              <w:t>分层回填夯实，路面、地砖、绿化开挖后按原标准恢复，无沉降、破损。</w:t>
            </w:r>
          </w:p>
        </w:tc>
      </w:tr>
      <w:tr w14:paraId="04F5E381">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01069F3B">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0238E4AF">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19</w:t>
            </w:r>
          </w:p>
        </w:tc>
        <w:tc>
          <w:tcPr>
            <w:tcW w:w="7121" w:type="dxa"/>
            <w:tcBorders>
              <w:top w:val="single" w:color="auto" w:sz="4" w:space="0"/>
              <w:left w:val="nil"/>
              <w:bottom w:val="single" w:color="auto" w:sz="4" w:space="0"/>
              <w:right w:val="single" w:color="auto" w:sz="4" w:space="0"/>
            </w:tcBorders>
            <w:vAlign w:val="center"/>
          </w:tcPr>
          <w:p w14:paraId="47241CB7">
            <w:pPr>
              <w:jc w:val="left"/>
              <w:rPr>
                <w:rFonts w:hint="eastAsia" w:ascii="宋体" w:hAnsi="宋体" w:eastAsia="宋体" w:cs="宋体"/>
                <w:sz w:val="32"/>
                <w:szCs w:val="32"/>
                <w:lang w:eastAsia="zh-CN"/>
              </w:rPr>
            </w:pPr>
            <w:r>
              <w:rPr>
                <w:rFonts w:ascii="宋体" w:hAnsi="宋体" w:eastAsia="宋体" w:cs="宋体"/>
                <w:sz w:val="24"/>
                <w:szCs w:val="24"/>
              </w:rPr>
              <w:t>PE 管热熔焊接专人持证操作，焊接温度、冷却时间符合规范，逐段留存焊接施工影像；不锈钢管卡压连接完整到位；PPR 管热熔无虚焊、堵管。</w:t>
            </w:r>
          </w:p>
        </w:tc>
      </w:tr>
      <w:tr w14:paraId="1897F907">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F2F74FF">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60B547EB">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w:t>
            </w:r>
          </w:p>
        </w:tc>
        <w:tc>
          <w:tcPr>
            <w:tcW w:w="7121" w:type="dxa"/>
            <w:tcBorders>
              <w:top w:val="single" w:color="auto" w:sz="4" w:space="0"/>
              <w:left w:val="nil"/>
              <w:bottom w:val="single" w:color="auto" w:sz="4" w:space="0"/>
              <w:right w:val="single" w:color="auto" w:sz="4" w:space="0"/>
            </w:tcBorders>
            <w:vAlign w:val="center"/>
          </w:tcPr>
          <w:p w14:paraId="47973A5C">
            <w:pPr>
              <w:jc w:val="left"/>
              <w:rPr>
                <w:rFonts w:hint="eastAsia" w:ascii="宋体" w:hAnsi="宋体" w:eastAsia="宋体" w:cs="宋体"/>
                <w:sz w:val="32"/>
                <w:szCs w:val="32"/>
                <w:lang w:eastAsia="zh-CN"/>
              </w:rPr>
            </w:pPr>
            <w:r>
              <w:rPr>
                <w:rFonts w:ascii="宋体" w:hAnsi="宋体" w:eastAsia="宋体" w:cs="宋体"/>
                <w:sz w:val="24"/>
                <w:szCs w:val="24"/>
              </w:rPr>
              <w:t>楼道分户管线规整固定，做标识标牌，每户管道标注房号，便于后期检修。</w:t>
            </w:r>
          </w:p>
        </w:tc>
      </w:tr>
      <w:tr w14:paraId="4B2233C7">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51207819">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1648D743">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21</w:t>
            </w:r>
          </w:p>
        </w:tc>
        <w:tc>
          <w:tcPr>
            <w:tcW w:w="7121" w:type="dxa"/>
            <w:tcBorders>
              <w:top w:val="single" w:color="auto" w:sz="4" w:space="0"/>
              <w:left w:val="nil"/>
              <w:bottom w:val="single" w:color="auto" w:sz="4" w:space="0"/>
              <w:right w:val="single" w:color="auto" w:sz="4" w:space="0"/>
            </w:tcBorders>
            <w:vAlign w:val="center"/>
          </w:tcPr>
          <w:p w14:paraId="19379DC2">
            <w:pPr>
              <w:jc w:val="left"/>
              <w:rPr>
                <w:rFonts w:hint="eastAsia" w:ascii="宋体" w:hAnsi="宋体" w:eastAsia="宋体" w:cs="宋体"/>
                <w:sz w:val="32"/>
                <w:szCs w:val="32"/>
                <w:lang w:eastAsia="zh-CN"/>
              </w:rPr>
            </w:pPr>
            <w:r>
              <w:rPr>
                <w:rFonts w:ascii="宋体" w:hAnsi="宋体" w:eastAsia="宋体" w:cs="宋体"/>
                <w:sz w:val="24"/>
                <w:szCs w:val="24"/>
              </w:rPr>
              <w:t>制定分区分段错峰停水方案，医疗区域停水避开手术、急诊高峰，单次停水提前 72 小时书面通知医院后勤、临床科室；</w:t>
            </w:r>
          </w:p>
        </w:tc>
      </w:tr>
      <w:tr w14:paraId="2BFDB87A">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2F82DCC2">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350111F1">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22</w:t>
            </w:r>
          </w:p>
        </w:tc>
        <w:tc>
          <w:tcPr>
            <w:tcW w:w="7121" w:type="dxa"/>
            <w:tcBorders>
              <w:top w:val="single" w:color="auto" w:sz="4" w:space="0"/>
              <w:left w:val="nil"/>
              <w:bottom w:val="single" w:color="auto" w:sz="4" w:space="0"/>
              <w:right w:val="single" w:color="auto" w:sz="4" w:space="0"/>
            </w:tcBorders>
            <w:vAlign w:val="center"/>
          </w:tcPr>
          <w:p w14:paraId="194876F9">
            <w:pPr>
              <w:jc w:val="left"/>
              <w:rPr>
                <w:rFonts w:hint="eastAsia" w:ascii="宋体" w:hAnsi="宋体" w:eastAsia="宋体" w:cs="宋体"/>
                <w:sz w:val="32"/>
                <w:szCs w:val="32"/>
                <w:lang w:eastAsia="zh-CN"/>
              </w:rPr>
            </w:pPr>
            <w:r>
              <w:rPr>
                <w:rFonts w:ascii="宋体" w:hAnsi="宋体" w:eastAsia="宋体" w:cs="宋体"/>
                <w:sz w:val="24"/>
                <w:szCs w:val="24"/>
              </w:rPr>
              <w:t>居民停水提前 48 小时张贴通知，单次停水时长控制在 4 小时以内；</w:t>
            </w:r>
          </w:p>
        </w:tc>
      </w:tr>
      <w:tr w14:paraId="1B6AB205">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C4FFE32">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2924D410">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23</w:t>
            </w:r>
          </w:p>
        </w:tc>
        <w:tc>
          <w:tcPr>
            <w:tcW w:w="7121" w:type="dxa"/>
            <w:tcBorders>
              <w:top w:val="single" w:color="auto" w:sz="4" w:space="0"/>
              <w:left w:val="nil"/>
              <w:bottom w:val="single" w:color="auto" w:sz="4" w:space="0"/>
              <w:right w:val="single" w:color="auto" w:sz="4" w:space="0"/>
            </w:tcBorders>
            <w:vAlign w:val="center"/>
          </w:tcPr>
          <w:p w14:paraId="12A37A97">
            <w:pPr>
              <w:jc w:val="left"/>
              <w:rPr>
                <w:rFonts w:hint="eastAsia" w:ascii="宋体" w:hAnsi="宋体" w:eastAsia="宋体" w:cs="宋体"/>
                <w:sz w:val="32"/>
                <w:szCs w:val="32"/>
                <w:lang w:eastAsia="zh-CN"/>
              </w:rPr>
            </w:pPr>
            <w:r>
              <w:rPr>
                <w:rFonts w:ascii="宋体" w:hAnsi="宋体" w:eastAsia="宋体" w:cs="宋体"/>
                <w:sz w:val="24"/>
                <w:szCs w:val="24"/>
              </w:rPr>
              <w:t>施工区域设置硬质围挡、安全警示标识，医疗通道、居民出行通道保持畅通；</w:t>
            </w:r>
          </w:p>
        </w:tc>
      </w:tr>
      <w:tr w14:paraId="3A88B2E4">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4C627B9D">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5DDDDF42">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24</w:t>
            </w:r>
          </w:p>
        </w:tc>
        <w:tc>
          <w:tcPr>
            <w:tcW w:w="7121" w:type="dxa"/>
            <w:tcBorders>
              <w:top w:val="single" w:color="auto" w:sz="4" w:space="0"/>
              <w:left w:val="nil"/>
              <w:bottom w:val="single" w:color="auto" w:sz="4" w:space="0"/>
              <w:right w:val="single" w:color="auto" w:sz="4" w:space="0"/>
            </w:tcBorders>
            <w:vAlign w:val="center"/>
          </w:tcPr>
          <w:p w14:paraId="0B1F0858">
            <w:pPr>
              <w:jc w:val="left"/>
              <w:rPr>
                <w:rFonts w:hint="eastAsia" w:ascii="宋体" w:hAnsi="宋体" w:eastAsia="宋体" w:cs="宋体"/>
                <w:sz w:val="32"/>
                <w:szCs w:val="32"/>
                <w:lang w:eastAsia="zh-CN"/>
              </w:rPr>
            </w:pPr>
            <w:r>
              <w:rPr>
                <w:rFonts w:ascii="宋体" w:hAnsi="宋体" w:eastAsia="宋体" w:cs="宋体"/>
                <w:sz w:val="24"/>
                <w:szCs w:val="24"/>
              </w:rPr>
              <w:t>挖沟槽夜间设置警示灯、防护护栏，防止人员坠落；</w:t>
            </w:r>
          </w:p>
        </w:tc>
      </w:tr>
      <w:tr w14:paraId="3915B4DE">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18890C01">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4B9B0524">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25</w:t>
            </w:r>
          </w:p>
        </w:tc>
        <w:tc>
          <w:tcPr>
            <w:tcW w:w="7121" w:type="dxa"/>
            <w:tcBorders>
              <w:top w:val="single" w:color="auto" w:sz="4" w:space="0"/>
              <w:left w:val="nil"/>
              <w:bottom w:val="single" w:color="auto" w:sz="4" w:space="0"/>
              <w:right w:val="single" w:color="auto" w:sz="4" w:space="0"/>
            </w:tcBorders>
            <w:vAlign w:val="center"/>
          </w:tcPr>
          <w:p w14:paraId="73B57268">
            <w:pPr>
              <w:jc w:val="left"/>
              <w:rPr>
                <w:rFonts w:hint="eastAsia" w:ascii="宋体" w:hAnsi="宋体" w:eastAsia="宋体" w:cs="宋体"/>
                <w:sz w:val="32"/>
                <w:szCs w:val="32"/>
                <w:lang w:eastAsia="zh-CN"/>
              </w:rPr>
            </w:pPr>
            <w:r>
              <w:rPr>
                <w:rFonts w:ascii="宋体" w:hAnsi="宋体" w:eastAsia="宋体" w:cs="宋体"/>
                <w:sz w:val="24"/>
                <w:szCs w:val="24"/>
              </w:rPr>
              <w:t>所有涉水材料、设备进场前报验，严禁三无、再生料、不合格产品进场；一经发现立即清场并承担全部工期损失；</w:t>
            </w:r>
          </w:p>
        </w:tc>
      </w:tr>
      <w:tr w14:paraId="05794FB0">
        <w:tblPrEx>
          <w:tblCellMar>
            <w:top w:w="0" w:type="dxa"/>
            <w:left w:w="108" w:type="dxa"/>
            <w:bottom w:w="0" w:type="dxa"/>
            <w:right w:w="108" w:type="dxa"/>
          </w:tblCellMar>
        </w:tblPrEx>
        <w:trPr>
          <w:trHeight w:val="801" w:hRule="atLeast"/>
          <w:jc w:val="center"/>
        </w:trPr>
        <w:tc>
          <w:tcPr>
            <w:tcW w:w="1555" w:type="dxa"/>
            <w:tcBorders>
              <w:top w:val="single" w:color="auto" w:sz="4" w:space="0"/>
              <w:left w:val="single" w:color="auto" w:sz="4" w:space="0"/>
              <w:bottom w:val="single" w:color="auto" w:sz="4" w:space="0"/>
              <w:right w:val="single" w:color="auto" w:sz="4" w:space="0"/>
            </w:tcBorders>
            <w:vAlign w:val="center"/>
          </w:tcPr>
          <w:p w14:paraId="635E089B">
            <w:pPr>
              <w:widowControl/>
              <w:jc w:val="center"/>
              <w:rPr>
                <w:rFonts w:hint="eastAsia" w:ascii="宋体" w:hAnsi="宋体" w:eastAsia="宋体" w:cs="宋体"/>
                <w:sz w:val="32"/>
                <w:szCs w:val="32"/>
                <w:lang w:eastAsia="zh-CN"/>
              </w:rPr>
            </w:pPr>
          </w:p>
        </w:tc>
        <w:tc>
          <w:tcPr>
            <w:tcW w:w="1134" w:type="dxa"/>
            <w:tcBorders>
              <w:top w:val="single" w:color="auto" w:sz="4" w:space="0"/>
              <w:left w:val="nil"/>
              <w:bottom w:val="single" w:color="auto" w:sz="4" w:space="0"/>
              <w:right w:val="single" w:color="auto" w:sz="4" w:space="0"/>
            </w:tcBorders>
            <w:vAlign w:val="center"/>
          </w:tcPr>
          <w:p w14:paraId="6C0A7D55">
            <w:pPr>
              <w:widowControl/>
              <w:jc w:val="center"/>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26</w:t>
            </w:r>
          </w:p>
        </w:tc>
        <w:tc>
          <w:tcPr>
            <w:tcW w:w="7121" w:type="dxa"/>
            <w:tcBorders>
              <w:top w:val="single" w:color="auto" w:sz="4" w:space="0"/>
              <w:left w:val="nil"/>
              <w:bottom w:val="single" w:color="auto" w:sz="4" w:space="0"/>
              <w:right w:val="single" w:color="auto" w:sz="4" w:space="0"/>
            </w:tcBorders>
            <w:vAlign w:val="center"/>
          </w:tcPr>
          <w:p w14:paraId="1ABFA99B">
            <w:pPr>
              <w:jc w:val="left"/>
              <w:rPr>
                <w:rFonts w:hint="eastAsia" w:ascii="宋体" w:hAnsi="宋体" w:eastAsia="宋体" w:cs="宋体"/>
                <w:sz w:val="32"/>
                <w:szCs w:val="32"/>
                <w:lang w:eastAsia="zh-CN"/>
              </w:rPr>
            </w:pPr>
            <w:r>
              <w:rPr>
                <w:rFonts w:ascii="宋体" w:hAnsi="宋体" w:eastAsia="宋体" w:cs="宋体"/>
                <w:sz w:val="24"/>
                <w:szCs w:val="24"/>
              </w:rPr>
              <w:t>施工人员持证上岗（热熔焊工、管道工、水表安装工），配备全套防护用品。</w:t>
            </w:r>
          </w:p>
        </w:tc>
      </w:tr>
    </w:tbl>
    <w:p w14:paraId="0DF697A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AF7AC2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5E19A9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ABC05C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01BC28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45A094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D14FE3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B34A96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67900F8">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729585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D055694">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E62BC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384B71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C099C4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1351E46">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E94C3B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2"/>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6327BF4A">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表2 综合评分表</w:t>
      </w:r>
    </w:p>
    <w:p w14:paraId="48EBFA98">
      <w:pPr>
        <w:pStyle w:val="2"/>
        <w:rPr>
          <w:rFonts w:hint="eastAsia"/>
          <w:lang w:val="en-US" w:eastAsia="zh-CN"/>
        </w:rPr>
      </w:pPr>
    </w:p>
    <w:tbl>
      <w:tblPr>
        <w:tblStyle w:val="12"/>
        <w:tblW w:w="55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928"/>
        <w:gridCol w:w="1089"/>
        <w:gridCol w:w="1613"/>
        <w:gridCol w:w="4665"/>
      </w:tblGrid>
      <w:tr w14:paraId="7209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noWrap w:val="0"/>
            <w:vAlign w:val="center"/>
          </w:tcPr>
          <w:p w14:paraId="477DB853">
            <w:pPr>
              <w:keepNext w:val="0"/>
              <w:keepLines w:val="0"/>
              <w:pageBreakBefore w:val="0"/>
              <w:widowControl w:val="0"/>
              <w:wordWrap/>
              <w:topLinePunct w:val="0"/>
              <w:bidi w:val="0"/>
              <w:adjustRightInd w:val="0"/>
              <w:snapToGrid w:val="0"/>
              <w:spacing w:line="360" w:lineRule="exact"/>
              <w:textAlignment w:val="auto"/>
              <w:rPr>
                <w:rFonts w:hint="eastAsia" w:ascii="宋体" w:hAnsi="宋体" w:eastAsia="宋体" w:cs="宋体"/>
                <w:sz w:val="22"/>
                <w:szCs w:val="22"/>
                <w:lang w:eastAsia="zh-CN"/>
              </w:rPr>
            </w:pPr>
            <w:r>
              <w:rPr>
                <w:rFonts w:hint="eastAsia" w:ascii="宋体" w:hAnsi="宋体" w:eastAsia="宋体" w:cs="宋体"/>
                <w:sz w:val="22"/>
                <w:szCs w:val="22"/>
              </w:rPr>
              <w:t>分值构成</w:t>
            </w:r>
            <w:r>
              <w:rPr>
                <w:rFonts w:hint="eastAsia" w:ascii="宋体" w:hAnsi="宋体" w:eastAsia="宋体" w:cs="宋体"/>
                <w:sz w:val="22"/>
                <w:szCs w:val="22"/>
                <w:lang w:eastAsia="zh-CN"/>
              </w:rPr>
              <w:t>：</w:t>
            </w:r>
            <w:r>
              <w:rPr>
                <w:rFonts w:hint="eastAsia" w:ascii="宋体" w:hAnsi="宋体" w:eastAsia="宋体" w:cs="宋体"/>
                <w:kern w:val="0"/>
                <w:sz w:val="22"/>
                <w:szCs w:val="22"/>
                <w:lang w:val="en-US" w:eastAsia="zh-CN"/>
              </w:rPr>
              <w:t>技术部分</w:t>
            </w:r>
            <w:r>
              <w:rPr>
                <w:rFonts w:hint="eastAsia" w:ascii="宋体" w:hAnsi="宋体" w:cs="宋体"/>
                <w:sz w:val="22"/>
                <w:szCs w:val="22"/>
                <w:lang w:val="en-US" w:eastAsia="zh-CN"/>
              </w:rPr>
              <w:t>60</w:t>
            </w:r>
            <w:r>
              <w:rPr>
                <w:rFonts w:hint="eastAsia" w:ascii="宋体" w:hAnsi="宋体" w:eastAsia="宋体" w:cs="宋体"/>
                <w:sz w:val="22"/>
                <w:szCs w:val="22"/>
                <w:lang w:val="en-US" w:eastAsia="zh-CN"/>
              </w:rPr>
              <w:t>分+投标报价</w:t>
            </w:r>
            <w:r>
              <w:rPr>
                <w:rFonts w:hint="eastAsia" w:ascii="宋体" w:hAnsi="宋体" w:cs="宋体"/>
                <w:sz w:val="22"/>
                <w:szCs w:val="22"/>
                <w:lang w:val="en-US" w:eastAsia="zh-CN"/>
              </w:rPr>
              <w:t>2</w:t>
            </w:r>
            <w:r>
              <w:rPr>
                <w:rFonts w:hint="eastAsia" w:ascii="宋体" w:hAnsi="宋体" w:eastAsia="宋体" w:cs="宋体"/>
                <w:sz w:val="22"/>
                <w:szCs w:val="22"/>
                <w:lang w:val="en-US" w:eastAsia="zh-CN"/>
              </w:rPr>
              <w:t>0分+商务部分</w:t>
            </w:r>
            <w:r>
              <w:rPr>
                <w:rFonts w:hint="eastAsia" w:ascii="宋体" w:hAnsi="宋体" w:cs="宋体"/>
                <w:sz w:val="22"/>
                <w:szCs w:val="22"/>
                <w:lang w:val="en-US" w:eastAsia="zh-CN"/>
              </w:rPr>
              <w:t>20</w:t>
            </w:r>
            <w:r>
              <w:rPr>
                <w:rFonts w:hint="eastAsia" w:ascii="宋体" w:hAnsi="宋体" w:eastAsia="宋体" w:cs="宋体"/>
                <w:sz w:val="22"/>
                <w:szCs w:val="22"/>
                <w:lang w:val="en-US" w:eastAsia="zh-CN"/>
              </w:rPr>
              <w:t>分</w:t>
            </w:r>
          </w:p>
          <w:p w14:paraId="423B1EE7">
            <w:pPr>
              <w:pStyle w:val="8"/>
              <w:keepNext w:val="0"/>
              <w:keepLines w:val="0"/>
              <w:pageBreakBefore w:val="0"/>
              <w:kinsoku/>
              <w:wordWrap/>
              <w:topLinePunct w:val="0"/>
              <w:bidi w:val="0"/>
              <w:snapToGrid w:val="0"/>
              <w:spacing w:line="240" w:lineRule="auto"/>
              <w:jc w:val="left"/>
              <w:rPr>
                <w:rFonts w:hint="eastAsia" w:ascii="宋体" w:hAnsi="宋体" w:eastAsia="宋体" w:cs="宋体"/>
                <w:b/>
                <w:sz w:val="24"/>
                <w:szCs w:val="24"/>
              </w:rPr>
            </w:pPr>
          </w:p>
        </w:tc>
      </w:tr>
      <w:tr w14:paraId="502F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2" w:type="pct"/>
            <w:gridSpan w:val="2"/>
            <w:noWrap w:val="0"/>
            <w:vAlign w:val="center"/>
          </w:tcPr>
          <w:p w14:paraId="3826A795">
            <w:pPr>
              <w:pStyle w:val="8"/>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评分因素</w:t>
            </w:r>
          </w:p>
        </w:tc>
        <w:tc>
          <w:tcPr>
            <w:tcW w:w="576" w:type="pct"/>
            <w:noWrap w:val="0"/>
            <w:vAlign w:val="center"/>
          </w:tcPr>
          <w:p w14:paraId="365236D2">
            <w:pPr>
              <w:pStyle w:val="8"/>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p>
        </w:tc>
        <w:tc>
          <w:tcPr>
            <w:tcW w:w="3321" w:type="pct"/>
            <w:gridSpan w:val="2"/>
            <w:noWrap w:val="0"/>
            <w:vAlign w:val="center"/>
          </w:tcPr>
          <w:p w14:paraId="182C2680">
            <w:pPr>
              <w:pStyle w:val="8"/>
              <w:keepNext w:val="0"/>
              <w:keepLines w:val="0"/>
              <w:pageBreakBefore w:val="0"/>
              <w:kinsoku/>
              <w:wordWrap/>
              <w:topLinePunct w:val="0"/>
              <w:bidi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评分标准</w:t>
            </w:r>
          </w:p>
        </w:tc>
      </w:tr>
      <w:tr w14:paraId="6B4B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restart"/>
            <w:noWrap w:val="0"/>
            <w:vAlign w:val="center"/>
          </w:tcPr>
          <w:p w14:paraId="039DE9CE">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b/>
                <w:sz w:val="24"/>
                <w:szCs w:val="24"/>
                <w:lang w:val="en-US" w:eastAsia="zh-CN"/>
              </w:rPr>
            </w:pPr>
            <w:r>
              <w:rPr>
                <w:rFonts w:hint="eastAsia" w:ascii="宋体" w:hAnsi="宋体" w:cs="宋体"/>
                <w:b/>
                <w:sz w:val="24"/>
                <w:szCs w:val="24"/>
                <w:lang w:val="en-US" w:eastAsia="zh-CN"/>
              </w:rPr>
              <w:t>技术部分</w:t>
            </w:r>
          </w:p>
        </w:tc>
        <w:tc>
          <w:tcPr>
            <w:tcW w:w="490" w:type="pct"/>
            <w:vMerge w:val="restart"/>
            <w:noWrap w:val="0"/>
            <w:vAlign w:val="center"/>
          </w:tcPr>
          <w:p w14:paraId="49454C48">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0分）</w:t>
            </w:r>
          </w:p>
          <w:p w14:paraId="7983CF17">
            <w:pPr>
              <w:keepNext w:val="0"/>
              <w:keepLines w:val="0"/>
              <w:pageBreakBefore w:val="0"/>
              <w:tabs>
                <w:tab w:val="left" w:pos="342"/>
              </w:tabs>
              <w:kinsoku/>
              <w:wordWrap/>
              <w:topLinePunct w:val="0"/>
              <w:bidi w:val="0"/>
              <w:spacing w:line="240" w:lineRule="auto"/>
              <w:jc w:val="left"/>
              <w:rPr>
                <w:rFonts w:hint="eastAsia" w:ascii="宋体" w:hAnsi="宋体" w:eastAsia="宋体" w:cs="宋体"/>
                <w:b/>
                <w:sz w:val="24"/>
                <w:szCs w:val="24"/>
                <w:lang w:val="en-US" w:eastAsia="zh-CN"/>
              </w:rPr>
            </w:pPr>
          </w:p>
        </w:tc>
        <w:tc>
          <w:tcPr>
            <w:tcW w:w="576" w:type="pct"/>
            <w:vMerge w:val="restart"/>
            <w:noWrap w:val="0"/>
            <w:vAlign w:val="center"/>
          </w:tcPr>
          <w:p w14:paraId="1A83C210">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401D77E4">
            <w:pPr>
              <w:pStyle w:val="28"/>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sz w:val="20"/>
                <w:szCs w:val="20"/>
              </w:rPr>
            </w:pPr>
            <w:r>
              <w:rPr>
                <w:rFonts w:hint="eastAsia" w:ascii="宋体" w:hAnsi="宋体" w:eastAsia="宋体" w:cs="宋体"/>
                <w:color w:val="000000"/>
                <w:sz w:val="20"/>
                <w:szCs w:val="20"/>
              </w:rPr>
              <w:t>内容完整性和编制水平</w:t>
            </w:r>
          </w:p>
          <w:p w14:paraId="5A0F8B61">
            <w:pPr>
              <w:pStyle w:val="28"/>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29"/>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w:t>
            </w:r>
            <w:r>
              <w:rPr>
                <w:rFonts w:hint="eastAsia" w:ascii="宋体" w:hAnsi="宋体" w:eastAsia="宋体" w:cs="宋体"/>
                <w:color w:val="000000"/>
                <w:sz w:val="20"/>
                <w:szCs w:val="20"/>
                <w:lang w:val="en-US" w:eastAsia="zh-CN"/>
              </w:rPr>
              <w:t>10</w:t>
            </w:r>
            <w:r>
              <w:rPr>
                <w:rFonts w:hint="eastAsia" w:ascii="宋体" w:hAnsi="宋体" w:eastAsia="宋体" w:cs="宋体"/>
                <w:color w:val="000000"/>
                <w:sz w:val="20"/>
                <w:szCs w:val="20"/>
              </w:rPr>
              <w:t>分）</w:t>
            </w:r>
          </w:p>
        </w:tc>
        <w:tc>
          <w:tcPr>
            <w:tcW w:w="2467" w:type="pct"/>
            <w:noWrap w:val="0"/>
            <w:vAlign w:val="center"/>
          </w:tcPr>
          <w:p w14:paraId="6917A74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lang w:val="en-US" w:eastAsia="zh-CN"/>
              </w:rPr>
              <w:t>针对本项目对施工组织设计部分进行编制。提供方案者即得基础分8分。 额外加分标准： 1.投标文件的内容完整、科学有效性、有针对性及编制水平高，全部技术参数都满足，得2分。 2.投标文件的内容完整性较好，科学有效性、有针对性，编制水平较好，技术参数大部分满足，得1分。 3.投标文件的内容不完整，科学有效性、有针对性体现较一般，编制水平较一般，技术参数小部分满足，得0.5分。 4.未提供，不得分。</w:t>
            </w:r>
          </w:p>
        </w:tc>
      </w:tr>
      <w:tr w14:paraId="1952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611" w:type="pct"/>
            <w:vMerge w:val="continue"/>
            <w:noWrap w:val="0"/>
            <w:vAlign w:val="center"/>
          </w:tcPr>
          <w:p w14:paraId="2B53C7BB">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490" w:type="pct"/>
            <w:vMerge w:val="continue"/>
            <w:noWrap w:val="0"/>
            <w:vAlign w:val="center"/>
          </w:tcPr>
          <w:p w14:paraId="24AD902F">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576" w:type="pct"/>
            <w:vMerge w:val="continue"/>
            <w:noWrap w:val="0"/>
            <w:vAlign w:val="center"/>
          </w:tcPr>
          <w:p w14:paraId="70571600">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sz w:val="24"/>
                <w:szCs w:val="24"/>
              </w:rPr>
            </w:pPr>
          </w:p>
        </w:tc>
        <w:tc>
          <w:tcPr>
            <w:tcW w:w="853" w:type="pct"/>
            <w:noWrap w:val="0"/>
            <w:vAlign w:val="center"/>
          </w:tcPr>
          <w:p w14:paraId="493218FC">
            <w:pPr>
              <w:pStyle w:val="28"/>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29"/>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施工方案与技术措施（</w:t>
            </w:r>
            <w:r>
              <w:rPr>
                <w:rFonts w:hint="eastAsia" w:ascii="宋体" w:hAnsi="宋体" w:eastAsia="宋体" w:cs="宋体"/>
                <w:color w:val="000000"/>
                <w:sz w:val="20"/>
                <w:szCs w:val="20"/>
                <w:lang w:val="en-US" w:eastAsia="zh-CN"/>
              </w:rPr>
              <w:t>12</w:t>
            </w:r>
            <w:r>
              <w:rPr>
                <w:rFonts w:hint="eastAsia" w:ascii="宋体" w:hAnsi="宋体" w:eastAsia="宋体" w:cs="宋体"/>
                <w:color w:val="000000"/>
                <w:sz w:val="20"/>
                <w:szCs w:val="20"/>
              </w:rPr>
              <w:t>分）</w:t>
            </w:r>
          </w:p>
        </w:tc>
        <w:tc>
          <w:tcPr>
            <w:tcW w:w="2467" w:type="pct"/>
            <w:noWrap w:val="0"/>
            <w:vAlign w:val="center"/>
          </w:tcPr>
          <w:p w14:paraId="6C319F8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lang w:val="en-US" w:eastAsia="zh-CN"/>
              </w:rPr>
              <w:t>针对项目施工方案与技术措施编制方案，包含施⼯准备及进度安排、各分部分项⼯程主要施⼯技术⽅法、关键点控制措施、材料供应保障措施、成品保护措施等。提供方案即得基础分9.6分。额外加分标准： 1.施工方案合理，技术措施对工程质量、工期和施工安全保障的有针对性，得2.4分。 2.施工方案较合理，技术措施对工程质量、工期和施工安全的保障针对性较强的，得1.2分； 3.施工方案一般，技术措施对工程质量、工期和施工安全的保障针对性一般的得0.6分。 4.未提供不得分。</w:t>
            </w:r>
          </w:p>
        </w:tc>
      </w:tr>
      <w:tr w14:paraId="2E87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5A949BFA">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2FFF6FF1">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6FBB5B94">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5CAE2E53">
            <w:pPr>
              <w:spacing w:line="360" w:lineRule="auto"/>
              <w:jc w:val="center"/>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rPr>
              <w:t>施工安全</w:t>
            </w:r>
            <w:r>
              <w:rPr>
                <w:rFonts w:hint="eastAsia" w:ascii="宋体" w:hAnsi="宋体" w:eastAsia="宋体" w:cs="宋体"/>
                <w:kern w:val="0"/>
                <w:sz w:val="20"/>
                <w:szCs w:val="20"/>
                <w:lang w:eastAsia="zh-CN"/>
              </w:rPr>
              <w:t>文明</w:t>
            </w:r>
            <w:r>
              <w:rPr>
                <w:rFonts w:hint="eastAsia" w:ascii="宋体" w:hAnsi="宋体" w:eastAsia="宋体" w:cs="宋体"/>
                <w:kern w:val="0"/>
                <w:sz w:val="20"/>
                <w:szCs w:val="20"/>
              </w:rPr>
              <w:t>措施计划(</w:t>
            </w:r>
            <w:r>
              <w:rPr>
                <w:rFonts w:hint="eastAsia" w:ascii="宋体" w:hAnsi="宋体" w:eastAsia="宋体" w:cs="宋体"/>
                <w:kern w:val="0"/>
                <w:sz w:val="20"/>
                <w:szCs w:val="20"/>
                <w:lang w:val="en-US" w:eastAsia="zh-CN"/>
              </w:rPr>
              <w:t>7</w:t>
            </w:r>
            <w:r>
              <w:rPr>
                <w:rFonts w:hint="eastAsia" w:ascii="宋体" w:hAnsi="宋体" w:eastAsia="宋体" w:cs="宋体"/>
                <w:kern w:val="0"/>
                <w:sz w:val="20"/>
                <w:szCs w:val="20"/>
              </w:rPr>
              <w:t>分)</w:t>
            </w:r>
          </w:p>
        </w:tc>
        <w:tc>
          <w:tcPr>
            <w:tcW w:w="2467" w:type="pct"/>
            <w:noWrap w:val="0"/>
            <w:vAlign w:val="center"/>
          </w:tcPr>
          <w:p w14:paraId="1A6801F5">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lang w:val="en-US" w:eastAsia="zh-CN"/>
              </w:rPr>
              <w:t>投标人针对施工安全文明措施编制计划方案。要求安全体系设置合理、安全⽣产责任到⼈职责分明、⽂明施⼯落实到位、安全隐患预控有前瞻性、保障措施完善可⾏、有针对性的减少噪⾳、建筑垃圾清理彻底性、建筑垃圾运输时效性有详细措施。提供方案者即得基础分5.6分。额外加分标准： 1.措施完善可行，安全及保卫工作有针对性得1.4分。 2.措施较完善，安全及保卫工作较有针对性得 0.7分。 3.措施不完善，安全及保卫工作针对性一般的得 0.3分。 4.未提供，不得分。</w:t>
            </w:r>
          </w:p>
        </w:tc>
      </w:tr>
      <w:tr w14:paraId="1F14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7A8C98F1">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0E16DF04">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01C798E0">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06B9718D">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29"/>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质量、环境管理体系与措施（</w:t>
            </w:r>
            <w:r>
              <w:rPr>
                <w:rFonts w:hint="eastAsia" w:ascii="宋体" w:hAnsi="宋体" w:eastAsia="宋体" w:cs="宋体"/>
                <w:color w:val="000000"/>
                <w:sz w:val="20"/>
                <w:szCs w:val="20"/>
                <w:lang w:val="en-US" w:eastAsia="zh-CN"/>
              </w:rPr>
              <w:t>5</w:t>
            </w:r>
            <w:r>
              <w:rPr>
                <w:rFonts w:hint="eastAsia" w:ascii="宋体" w:hAnsi="宋体" w:eastAsia="宋体" w:cs="宋体"/>
                <w:color w:val="000000"/>
                <w:sz w:val="20"/>
                <w:szCs w:val="20"/>
              </w:rPr>
              <w:t>分）</w:t>
            </w:r>
          </w:p>
        </w:tc>
        <w:tc>
          <w:tcPr>
            <w:tcW w:w="2467" w:type="pct"/>
            <w:noWrap w:val="0"/>
            <w:vAlign w:val="center"/>
          </w:tcPr>
          <w:p w14:paraId="49B2A11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lang w:val="en-US" w:eastAsia="zh-CN"/>
              </w:rPr>
              <w:t>投标人针对项目提供提供质量、环境管理体系与措施方案，包含质量保证体系、质量责任制度、质量检验制度、职⼯教育制度、保修制度有具体对应措施等。提供方案即得基础分4分。额外加分标准： 1.质量管理体系与措施的合理、有效、有针对性，得1分。 2.质量管理体系与措施较合理、可靠、较有效的，得0.5分； 3.质量管理体系与措施较一般、可靠性有效性一般的得0.2分。 4.未提供，不得分。</w:t>
            </w:r>
          </w:p>
        </w:tc>
      </w:tr>
      <w:tr w14:paraId="781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46542FDC">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490" w:type="pct"/>
            <w:vMerge w:val="continue"/>
            <w:noWrap w:val="0"/>
            <w:vAlign w:val="center"/>
          </w:tcPr>
          <w:p w14:paraId="7CCEBC4C">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576" w:type="pct"/>
            <w:vMerge w:val="continue"/>
            <w:noWrap w:val="0"/>
            <w:vAlign w:val="center"/>
          </w:tcPr>
          <w:p w14:paraId="33E0CC9D">
            <w:pPr>
              <w:keepNext w:val="0"/>
              <w:keepLines w:val="0"/>
              <w:pageBreakBefore w:val="0"/>
              <w:kinsoku/>
              <w:wordWrap/>
              <w:topLinePunct w:val="0"/>
              <w:autoSpaceDE w:val="0"/>
              <w:autoSpaceDN w:val="0"/>
              <w:bidi w:val="0"/>
              <w:adjustRightInd w:val="0"/>
              <w:snapToGrid w:val="0"/>
              <w:spacing w:line="240" w:lineRule="auto"/>
              <w:rPr>
                <w:rFonts w:hint="eastAsia" w:ascii="宋体" w:hAnsi="宋体" w:eastAsia="宋体" w:cs="宋体"/>
                <w:kern w:val="0"/>
                <w:sz w:val="24"/>
                <w:szCs w:val="24"/>
                <w:lang w:val="en-US" w:eastAsia="zh-CN"/>
              </w:rPr>
            </w:pPr>
          </w:p>
        </w:tc>
        <w:tc>
          <w:tcPr>
            <w:tcW w:w="853" w:type="pct"/>
            <w:noWrap w:val="0"/>
            <w:vAlign w:val="center"/>
          </w:tcPr>
          <w:p w14:paraId="136091CE">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Style w:val="29"/>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工程进度计划与措施（</w:t>
            </w: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分）</w:t>
            </w:r>
          </w:p>
        </w:tc>
        <w:tc>
          <w:tcPr>
            <w:tcW w:w="2467" w:type="pct"/>
            <w:noWrap w:val="0"/>
            <w:vAlign w:val="center"/>
          </w:tcPr>
          <w:p w14:paraId="192FF46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lang w:val="en-US" w:eastAsia="zh-CN"/>
              </w:rPr>
              <w:t>投标人针对项目提供工程进度计划与措施方案。提供方案者即得基础分4.8分。额外加分标准： 1.工程进度计划与措施合理、可靠、有效，得1.2分。 2.工程进度计划与控制工期的保证措施较合理、较可靠、较有效的，得0.6分; 3.工程进度计划与控制，工期的保证措施一般、可靠性有效性一般的，得0.3分。 4.未提供，不得分。</w:t>
            </w:r>
          </w:p>
        </w:tc>
      </w:tr>
      <w:tr w14:paraId="7074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2DE02B02">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286F46FD">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2F81C320">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47CBBD2E">
            <w:pPr>
              <w:autoSpaceDE w:val="0"/>
              <w:autoSpaceDN w:val="0"/>
              <w:adjustRightInd w:val="0"/>
              <w:spacing w:line="360" w:lineRule="auto"/>
              <w:jc w:val="left"/>
              <w:rPr>
                <w:rFonts w:hint="eastAsia" w:ascii="宋体" w:hAnsi="宋体" w:eastAsia="宋体" w:cs="宋体"/>
                <w:kern w:val="0"/>
                <w:sz w:val="20"/>
                <w:szCs w:val="20"/>
              </w:rPr>
            </w:pPr>
            <w:r>
              <w:rPr>
                <w:rFonts w:hint="eastAsia" w:ascii="宋体" w:hAnsi="宋体" w:eastAsia="宋体" w:cs="宋体"/>
                <w:kern w:val="0"/>
                <w:sz w:val="20"/>
                <w:szCs w:val="20"/>
              </w:rPr>
              <w:t>关键施工技术重点、难点和解决方案</w:t>
            </w:r>
          </w:p>
          <w:p w14:paraId="4DDC9274">
            <w:pPr>
              <w:autoSpaceDE w:val="0"/>
              <w:autoSpaceDN w:val="0"/>
              <w:adjustRightInd w:val="0"/>
              <w:spacing w:line="360" w:lineRule="auto"/>
              <w:jc w:val="left"/>
              <w:rPr>
                <w:rFonts w:hint="eastAsia" w:ascii="宋体" w:hAnsi="宋体" w:eastAsia="宋体" w:cs="宋体"/>
                <w:kern w:val="0"/>
                <w:sz w:val="20"/>
                <w:szCs w:val="20"/>
              </w:rPr>
            </w:pPr>
            <w:r>
              <w:rPr>
                <w:rFonts w:hint="eastAsia" w:ascii="宋体" w:hAnsi="宋体" w:eastAsia="宋体" w:cs="宋体"/>
                <w:kern w:val="0"/>
                <w:sz w:val="20"/>
                <w:szCs w:val="20"/>
              </w:rPr>
              <w:t>（</w:t>
            </w:r>
            <w:r>
              <w:rPr>
                <w:rFonts w:hint="eastAsia" w:ascii="宋体" w:hAnsi="宋体" w:eastAsia="宋体" w:cs="宋体"/>
                <w:kern w:val="0"/>
                <w:sz w:val="20"/>
                <w:szCs w:val="20"/>
                <w:lang w:val="en-US" w:eastAsia="zh-CN"/>
              </w:rPr>
              <w:t>10</w:t>
            </w:r>
            <w:r>
              <w:rPr>
                <w:rFonts w:hint="eastAsia" w:ascii="宋体" w:hAnsi="宋体" w:eastAsia="宋体" w:cs="宋体"/>
                <w:kern w:val="0"/>
                <w:sz w:val="20"/>
                <w:szCs w:val="20"/>
              </w:rPr>
              <w:t>分）</w:t>
            </w:r>
          </w:p>
        </w:tc>
        <w:tc>
          <w:tcPr>
            <w:tcW w:w="2467" w:type="pct"/>
            <w:noWrap w:val="0"/>
            <w:vAlign w:val="center"/>
          </w:tcPr>
          <w:p w14:paraId="09CF2291">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highlight w:val="none"/>
                <w:lang w:val="en-US" w:eastAsia="zh-CN"/>
              </w:rPr>
              <w:t>投标人针对项目提供关键施工技术重点、难点、质量通病和解决方案。提供方案即得基础分8分。额外加分标准： 1.关键施工技术、工艺及工程项目实施的重点、难点提供有效解决方案，得2分。 2.关键施工技术、工艺及工程项目实施的重点、难点提供较有效解决方案，得1分。 3.关键施工技术、工艺及工程项目实施的重点、难点提供较一般的解决方案，得0.5分。 4.未提供不得分。</w:t>
            </w:r>
          </w:p>
        </w:tc>
      </w:tr>
      <w:tr w14:paraId="585C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611" w:type="pct"/>
            <w:vMerge w:val="continue"/>
            <w:noWrap w:val="0"/>
            <w:vAlign w:val="center"/>
          </w:tcPr>
          <w:p w14:paraId="269858FD">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30E7022C">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5649BC91">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7FCA6CC0">
            <w:pPr>
              <w:autoSpaceDE w:val="0"/>
              <w:autoSpaceDN w:val="0"/>
              <w:adjustRightInd w:val="0"/>
              <w:spacing w:line="360" w:lineRule="auto"/>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应急预案以及应对措施（</w:t>
            </w:r>
            <w:r>
              <w:rPr>
                <w:rFonts w:hint="eastAsia" w:ascii="宋体" w:hAnsi="宋体" w:eastAsia="宋体" w:cs="宋体"/>
                <w:kern w:val="0"/>
                <w:sz w:val="20"/>
                <w:szCs w:val="20"/>
                <w:lang w:val="en-US" w:eastAsia="zh-CN"/>
              </w:rPr>
              <w:t>4</w:t>
            </w:r>
            <w:r>
              <w:rPr>
                <w:rFonts w:hint="eastAsia" w:ascii="宋体" w:hAnsi="宋体" w:eastAsia="宋体" w:cs="宋体"/>
                <w:kern w:val="0"/>
                <w:sz w:val="20"/>
                <w:szCs w:val="20"/>
              </w:rPr>
              <w:t>分）</w:t>
            </w:r>
          </w:p>
        </w:tc>
        <w:tc>
          <w:tcPr>
            <w:tcW w:w="2467" w:type="pct"/>
            <w:noWrap w:val="0"/>
            <w:vAlign w:val="center"/>
          </w:tcPr>
          <w:p w14:paraId="0A69AEE3">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highlight w:val="none"/>
                <w:lang w:val="en-US" w:eastAsia="zh-CN"/>
              </w:rPr>
              <w:t>投标人针对项目提供应急预案以及应对措施方案，包含突发事件应对快捷性、保障措施全⾯完善且有明确方案。提供方案即得基础分3.2分。额外加分标准： 1.针对工程施工过程中可能遇到的各种风险的预案以及应对措施合理、切实可行得0.8分。 2.针对工程施工过程中可能遇到的各种风险的预案以及应对措施较合理可行得0.4分。 3.针对工程施工过程中可能遇到的各种风险的预案以及应对措施合理可行性较一般得0.2分。 4.未提供，不得分。</w:t>
            </w:r>
          </w:p>
        </w:tc>
      </w:tr>
      <w:tr w14:paraId="2950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611" w:type="pct"/>
            <w:vMerge w:val="continue"/>
            <w:noWrap w:val="0"/>
            <w:vAlign w:val="center"/>
          </w:tcPr>
          <w:p w14:paraId="40EA299E">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lang w:val="en-US" w:eastAsia="zh-CN"/>
              </w:rPr>
            </w:pPr>
          </w:p>
        </w:tc>
        <w:tc>
          <w:tcPr>
            <w:tcW w:w="490" w:type="pct"/>
            <w:vMerge w:val="continue"/>
            <w:noWrap w:val="0"/>
            <w:vAlign w:val="center"/>
          </w:tcPr>
          <w:p w14:paraId="611F8AAA">
            <w:pPr>
              <w:keepNext w:val="0"/>
              <w:keepLines w:val="0"/>
              <w:pageBreakBefore w:val="0"/>
              <w:kinsoku/>
              <w:wordWrap/>
              <w:topLinePunct w:val="0"/>
              <w:bidi w:val="0"/>
              <w:spacing w:line="240" w:lineRule="auto"/>
              <w:jc w:val="center"/>
              <w:rPr>
                <w:rFonts w:hint="eastAsia" w:ascii="宋体" w:hAnsi="宋体" w:eastAsia="宋体" w:cs="宋体"/>
                <w:kern w:val="0"/>
                <w:sz w:val="24"/>
                <w:szCs w:val="24"/>
              </w:rPr>
            </w:pPr>
          </w:p>
        </w:tc>
        <w:tc>
          <w:tcPr>
            <w:tcW w:w="576" w:type="pct"/>
            <w:vMerge w:val="continue"/>
            <w:noWrap w:val="0"/>
            <w:vAlign w:val="center"/>
          </w:tcPr>
          <w:p w14:paraId="5E426BC4">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4"/>
                <w:szCs w:val="24"/>
              </w:rPr>
            </w:pPr>
          </w:p>
        </w:tc>
        <w:tc>
          <w:tcPr>
            <w:tcW w:w="853" w:type="pct"/>
            <w:noWrap w:val="0"/>
            <w:vAlign w:val="center"/>
          </w:tcPr>
          <w:p w14:paraId="73E21D10">
            <w:pPr>
              <w:pStyle w:val="3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kern w:val="0"/>
                <w:sz w:val="20"/>
                <w:szCs w:val="20"/>
              </w:rPr>
            </w:pPr>
            <w:r>
              <w:rPr>
                <w:rFonts w:hint="eastAsia" w:ascii="宋体" w:hAnsi="宋体" w:eastAsia="宋体" w:cs="宋体"/>
                <w:color w:val="000000"/>
                <w:sz w:val="20"/>
                <w:szCs w:val="20"/>
              </w:rPr>
              <w:t>资源配备计划（</w:t>
            </w:r>
            <w:r>
              <w:rPr>
                <w:rFonts w:hint="eastAsia" w:ascii="宋体" w:hAnsi="宋体" w:eastAsia="宋体" w:cs="宋体"/>
                <w:color w:val="000000"/>
                <w:sz w:val="20"/>
                <w:szCs w:val="20"/>
                <w:lang w:val="en-US" w:eastAsia="zh-CN"/>
              </w:rPr>
              <w:t>6</w:t>
            </w:r>
            <w:r>
              <w:rPr>
                <w:rFonts w:hint="eastAsia" w:ascii="宋体" w:hAnsi="宋体" w:eastAsia="宋体" w:cs="宋体"/>
                <w:color w:val="000000"/>
                <w:sz w:val="20"/>
                <w:szCs w:val="20"/>
              </w:rPr>
              <w:t>分）</w:t>
            </w:r>
          </w:p>
        </w:tc>
        <w:tc>
          <w:tcPr>
            <w:tcW w:w="2467" w:type="pct"/>
            <w:noWrap w:val="0"/>
            <w:vAlign w:val="center"/>
          </w:tcPr>
          <w:p w14:paraId="2936DE44">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0"/>
                <w:szCs w:val="20"/>
                <w:lang w:val="en-US" w:eastAsia="zh-CN"/>
              </w:rPr>
            </w:pPr>
            <w:r>
              <w:rPr>
                <w:rFonts w:hint="eastAsia" w:ascii="宋体" w:hAnsi="宋体" w:eastAsia="宋体" w:cs="宋体"/>
                <w:color w:val="000000"/>
                <w:sz w:val="20"/>
                <w:szCs w:val="20"/>
                <w:highlight w:val="none"/>
                <w:lang w:val="en-US" w:eastAsia="zh-CN"/>
              </w:rPr>
              <w:t>投标人针对项目提供资源配备计划方案，包含对投入的劳动力人数合理性、专业搭配齐全程度、从业证件齐全（如焊接作业⼈员应有焊接作业证）、各施⼯⼈员职责划分清晰、人员分⼯明确、劳动力安排中充分考虑医院环境因素（如控制噪⾳、保障就诊来往人员安全等）、具备应对突发情况（如天⽓变化、⼯期调整）的⼈员调配⽅案有具体相应措施。提供方案即得基础分4.8分。额外加分标准： 1.投入的劳动力与施工设备数量、种类的全面、合理、有效，得1.2分。 2.投入的劳动力与施工设备数量、种类较全面、较合理，得0.6分。 3.投入的劳动力与施工设备数量、种类的一般合理，得0.3分。 4.未提供，不得分。</w:t>
            </w:r>
          </w:p>
        </w:tc>
      </w:tr>
      <w:tr w14:paraId="2DB1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restart"/>
            <w:noWrap w:val="0"/>
            <w:vAlign w:val="center"/>
          </w:tcPr>
          <w:p w14:paraId="6599F66B">
            <w:pPr>
              <w:pStyle w:val="6"/>
              <w:keepNext w:val="0"/>
              <w:keepLines w:val="0"/>
              <w:pageBreakBefore w:val="0"/>
              <w:kinsoku/>
              <w:wordWrap/>
              <w:topLinePunct w:val="0"/>
              <w:bidi w:val="0"/>
              <w:spacing w:line="240" w:lineRule="auto"/>
              <w:ind w:firstLine="0"/>
              <w:jc w:val="both"/>
              <w:rPr>
                <w:rFonts w:hint="eastAsia" w:ascii="宋体" w:hAnsi="宋体" w:eastAsia="宋体" w:cs="宋体"/>
                <w:sz w:val="24"/>
                <w:szCs w:val="24"/>
                <w:lang w:val="en-US" w:eastAsia="zh-CN"/>
              </w:rPr>
            </w:pPr>
            <w:r>
              <w:rPr>
                <w:rFonts w:hint="eastAsia" w:ascii="宋体" w:hAnsi="宋体" w:eastAsia="宋体" w:cs="宋体"/>
                <w:b/>
                <w:sz w:val="24"/>
                <w:szCs w:val="24"/>
                <w:highlight w:val="none"/>
                <w:lang w:eastAsia="zh-CN"/>
              </w:rPr>
              <w:t>商务部分</w:t>
            </w:r>
          </w:p>
        </w:tc>
        <w:tc>
          <w:tcPr>
            <w:tcW w:w="490" w:type="pct"/>
            <w:vMerge w:val="restart"/>
            <w:noWrap w:val="0"/>
            <w:vAlign w:val="center"/>
          </w:tcPr>
          <w:p w14:paraId="75EB79A7">
            <w:pPr>
              <w:pStyle w:val="6"/>
              <w:keepNext w:val="0"/>
              <w:keepLines w:val="0"/>
              <w:pageBreakBefore w:val="0"/>
              <w:kinsoku/>
              <w:wordWrap/>
              <w:topLinePunct w:val="0"/>
              <w:bidi w:val="0"/>
              <w:spacing w:line="240" w:lineRule="auto"/>
              <w:ind w:firstLine="0"/>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20分</w:t>
            </w:r>
          </w:p>
        </w:tc>
        <w:tc>
          <w:tcPr>
            <w:tcW w:w="576" w:type="pct"/>
            <w:noWrap w:val="0"/>
            <w:vAlign w:val="center"/>
          </w:tcPr>
          <w:p w14:paraId="68357C52">
            <w:pPr>
              <w:keepNext w:val="0"/>
              <w:keepLines w:val="0"/>
              <w:pageBreakBefore w:val="0"/>
              <w:kinsoku/>
              <w:wordWrap/>
              <w:topLinePunct w:val="0"/>
              <w:bidi w:val="0"/>
              <w:spacing w:line="240" w:lineRule="auto"/>
              <w:jc w:val="center"/>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kern w:val="2"/>
                <w:sz w:val="20"/>
                <w:szCs w:val="20"/>
                <w:highlight w:val="none"/>
                <w:lang w:val="en-US" w:eastAsia="zh-CN" w:bidi="ar-SA"/>
              </w:rPr>
              <w:t>响应供应商业绩（</w:t>
            </w:r>
            <w:r>
              <w:rPr>
                <w:rFonts w:hint="eastAsia" w:ascii="宋体" w:hAnsi="宋体" w:cs="宋体"/>
                <w:color w:val="000000"/>
                <w:kern w:val="2"/>
                <w:sz w:val="20"/>
                <w:szCs w:val="20"/>
                <w:highlight w:val="none"/>
                <w:lang w:val="en-US" w:eastAsia="zh-CN" w:bidi="ar-SA"/>
              </w:rPr>
              <w:t>10</w:t>
            </w:r>
            <w:r>
              <w:rPr>
                <w:rFonts w:hint="eastAsia" w:ascii="宋体" w:hAnsi="宋体" w:eastAsia="宋体" w:cs="宋体"/>
                <w:color w:val="000000"/>
                <w:kern w:val="2"/>
                <w:sz w:val="20"/>
                <w:szCs w:val="20"/>
                <w:highlight w:val="none"/>
                <w:lang w:val="en-US" w:eastAsia="zh-CN" w:bidi="ar-SA"/>
              </w:rPr>
              <w:t>分）</w:t>
            </w:r>
          </w:p>
        </w:tc>
        <w:tc>
          <w:tcPr>
            <w:tcW w:w="3321" w:type="pct"/>
            <w:gridSpan w:val="2"/>
            <w:noWrap w:val="0"/>
            <w:vAlign w:val="center"/>
          </w:tcPr>
          <w:p w14:paraId="09660CED">
            <w:pPr>
              <w:pStyle w:val="30"/>
              <w:keepNext w:val="0"/>
              <w:keepLines w:val="0"/>
              <w:pageBreakBefore w:val="0"/>
              <w:widowControl/>
              <w:kinsoku/>
              <w:wordWrap/>
              <w:overflowPunct/>
              <w:topLinePunct w:val="0"/>
              <w:autoSpaceDE/>
              <w:autoSpaceDN/>
              <w:bidi w:val="0"/>
              <w:snapToGrid w:val="0"/>
              <w:spacing w:line="240" w:lineRule="auto"/>
              <w:textAlignment w:val="auto"/>
              <w:rPr>
                <w:rFonts w:hint="eastAsia" w:ascii="宋体" w:hAnsi="宋体" w:eastAsia="宋体" w:cs="宋体"/>
                <w:color w:val="000000"/>
                <w:kern w:val="2"/>
                <w:sz w:val="20"/>
                <w:szCs w:val="20"/>
                <w:highlight w:val="none"/>
                <w:lang w:val="en-US" w:eastAsia="zh-CN" w:bidi="ar-SA"/>
              </w:rPr>
            </w:pPr>
            <w:r>
              <w:rPr>
                <w:rFonts w:hint="eastAsia" w:ascii="宋体" w:hAnsi="宋体" w:eastAsia="宋体" w:cs="宋体"/>
                <w:color w:val="000000"/>
                <w:kern w:val="2"/>
                <w:sz w:val="20"/>
                <w:szCs w:val="20"/>
                <w:highlight w:val="none"/>
                <w:lang w:val="en-US" w:eastAsia="zh-CN" w:bidi="ar-SA"/>
              </w:rPr>
              <w:t>投标人提供2023年7月1日至今（业绩时间认定以合同签订时间为准）已完成或在建的类似自来水管网和水表安装施工业绩，每提供一项得5分，最高得10分。 （中标通知书及施工合同缺一不可，否则不予计分）</w:t>
            </w:r>
          </w:p>
        </w:tc>
      </w:tr>
      <w:tr w14:paraId="7E14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1" w:type="pct"/>
            <w:vMerge w:val="continue"/>
            <w:noWrap w:val="0"/>
            <w:vAlign w:val="center"/>
          </w:tcPr>
          <w:p w14:paraId="50C67946">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rPr>
            </w:pPr>
          </w:p>
        </w:tc>
        <w:tc>
          <w:tcPr>
            <w:tcW w:w="490" w:type="pct"/>
            <w:vMerge w:val="continue"/>
            <w:noWrap w:val="0"/>
            <w:vAlign w:val="center"/>
          </w:tcPr>
          <w:p w14:paraId="49E13794">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highlight w:val="none"/>
                <w:lang w:val="en-US" w:eastAsia="zh-CN"/>
              </w:rPr>
            </w:pPr>
          </w:p>
        </w:tc>
        <w:tc>
          <w:tcPr>
            <w:tcW w:w="576" w:type="pct"/>
            <w:noWrap w:val="0"/>
            <w:vAlign w:val="center"/>
          </w:tcPr>
          <w:p w14:paraId="5EB7C868">
            <w:pPr>
              <w:keepNext w:val="0"/>
              <w:keepLines w:val="0"/>
              <w:pageBreakBefore w:val="0"/>
              <w:kinsoku/>
              <w:wordWrap/>
              <w:topLinePunct w:val="0"/>
              <w:bidi w:val="0"/>
              <w:spacing w:line="240" w:lineRule="auto"/>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人员配置</w:t>
            </w:r>
          </w:p>
          <w:p w14:paraId="1E8932C6">
            <w:pPr>
              <w:spacing w:line="360" w:lineRule="auto"/>
              <w:jc w:val="center"/>
              <w:rPr>
                <w:rFonts w:hint="eastAsia" w:ascii="宋体" w:hAnsi="宋体" w:eastAsia="宋体" w:cs="宋体"/>
                <w:kern w:val="2"/>
                <w:sz w:val="20"/>
                <w:szCs w:val="20"/>
                <w:lang w:val="en-US" w:eastAsia="zh-CN" w:bidi="ar-SA"/>
              </w:rPr>
            </w:pPr>
            <w:r>
              <w:rPr>
                <w:rFonts w:hint="eastAsia" w:ascii="宋体" w:hAnsi="宋体" w:eastAsia="宋体" w:cs="宋体"/>
                <w:kern w:val="0"/>
                <w:sz w:val="20"/>
                <w:szCs w:val="20"/>
              </w:rPr>
              <w:t>（</w:t>
            </w:r>
            <w:r>
              <w:rPr>
                <w:rFonts w:hint="eastAsia" w:ascii="宋体" w:hAnsi="宋体" w:cs="宋体"/>
                <w:kern w:val="0"/>
                <w:sz w:val="20"/>
                <w:szCs w:val="20"/>
                <w:lang w:val="en-US" w:eastAsia="zh-CN"/>
              </w:rPr>
              <w:t>5</w:t>
            </w:r>
            <w:r>
              <w:rPr>
                <w:rFonts w:hint="eastAsia" w:ascii="宋体" w:hAnsi="宋体" w:eastAsia="宋体" w:cs="宋体"/>
                <w:kern w:val="0"/>
                <w:sz w:val="20"/>
                <w:szCs w:val="20"/>
              </w:rPr>
              <w:t>分）</w:t>
            </w:r>
          </w:p>
        </w:tc>
        <w:tc>
          <w:tcPr>
            <w:tcW w:w="3321" w:type="pct"/>
            <w:gridSpan w:val="2"/>
            <w:noWrap w:val="0"/>
            <w:vAlign w:val="center"/>
          </w:tcPr>
          <w:p w14:paraId="6DE0F0E8">
            <w:pPr>
              <w:pStyle w:val="2"/>
              <w:spacing w:after="120" w:line="240" w:lineRule="auto"/>
              <w:jc w:val="both"/>
              <w:rPr>
                <w:rFonts w:hint="eastAsia" w:ascii="宋体" w:hAnsi="宋体" w:eastAsia="宋体" w:cs="宋体"/>
                <w:b w:val="0"/>
                <w:i w:val="0"/>
                <w:strike w:val="0"/>
                <w:color w:val="auto"/>
                <w:kern w:val="2"/>
                <w:sz w:val="20"/>
                <w:szCs w:val="20"/>
                <w:u w:val="none"/>
                <w:lang w:val="en-US" w:eastAsia="zh-CN" w:bidi="ar-SA"/>
              </w:rPr>
            </w:pPr>
            <w:r>
              <w:rPr>
                <w:rFonts w:hint="eastAsia" w:ascii="宋体" w:hAnsi="宋体" w:eastAsia="宋体" w:cs="宋体"/>
                <w:b w:val="0"/>
                <w:i w:val="0"/>
                <w:strike w:val="0"/>
                <w:color w:val="auto"/>
                <w:sz w:val="20"/>
                <w:szCs w:val="20"/>
                <w:u w:val="none"/>
                <w:lang w:val="en-US" w:eastAsia="zh-CN"/>
              </w:rPr>
              <w:t>技术负责人有[中级（含）以上给排水工程师]技术职称得2分；其它人员如施工员、材料员、质检员或质量员、安全员、资料员、机械员、劳务员，每有一人具有[中级（含）以上工程师]（不限专业）技术职称得1分（最多3分)，</w:t>
            </w:r>
          </w:p>
        </w:tc>
      </w:tr>
      <w:tr w14:paraId="0A31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611" w:type="pct"/>
            <w:vMerge w:val="continue"/>
            <w:noWrap w:val="0"/>
            <w:vAlign w:val="center"/>
          </w:tcPr>
          <w:p w14:paraId="1DA0ADCF">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rPr>
            </w:pPr>
          </w:p>
        </w:tc>
        <w:tc>
          <w:tcPr>
            <w:tcW w:w="490" w:type="pct"/>
            <w:vMerge w:val="continue"/>
            <w:noWrap w:val="0"/>
            <w:vAlign w:val="center"/>
          </w:tcPr>
          <w:p w14:paraId="5B9751A0">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highlight w:val="none"/>
                <w:lang w:val="en-US" w:eastAsia="zh-CN"/>
              </w:rPr>
            </w:pPr>
          </w:p>
        </w:tc>
        <w:tc>
          <w:tcPr>
            <w:tcW w:w="576" w:type="pct"/>
            <w:noWrap w:val="0"/>
            <w:vAlign w:val="center"/>
          </w:tcPr>
          <w:p w14:paraId="02D59FBF">
            <w:pPr>
              <w:keepNext w:val="0"/>
              <w:keepLines w:val="0"/>
              <w:pageBreakBefore w:val="0"/>
              <w:kinsoku/>
              <w:wordWrap/>
              <w:topLinePunct w:val="0"/>
              <w:autoSpaceDE w:val="0"/>
              <w:autoSpaceDN w:val="0"/>
              <w:bidi w:val="0"/>
              <w:adjustRightInd w:val="0"/>
              <w:snapToGrid w:val="0"/>
              <w:spacing w:line="240" w:lineRule="auto"/>
              <w:jc w:val="center"/>
              <w:rPr>
                <w:rFonts w:hint="eastAsia" w:ascii="宋体" w:hAnsi="宋体" w:eastAsia="宋体" w:cs="宋体"/>
                <w:kern w:val="0"/>
                <w:sz w:val="20"/>
                <w:szCs w:val="20"/>
                <w:lang w:val="en-US" w:eastAsia="zh-CN"/>
              </w:rPr>
            </w:pPr>
            <w:r>
              <w:rPr>
                <w:rFonts w:hint="eastAsia"/>
                <w:sz w:val="20"/>
                <w:szCs w:val="20"/>
              </w:rPr>
              <w:t>项目</w:t>
            </w:r>
            <w:r>
              <w:rPr>
                <w:rFonts w:hint="eastAsia"/>
                <w:sz w:val="20"/>
                <w:szCs w:val="20"/>
                <w:lang w:eastAsia="zh-CN"/>
              </w:rPr>
              <w:t>经理</w:t>
            </w:r>
            <w:r>
              <w:rPr>
                <w:rFonts w:hint="eastAsia"/>
                <w:sz w:val="20"/>
                <w:szCs w:val="20"/>
                <w:lang w:val="en-US" w:eastAsia="zh-CN"/>
              </w:rPr>
              <w:t>及2分）</w:t>
            </w:r>
          </w:p>
        </w:tc>
        <w:tc>
          <w:tcPr>
            <w:tcW w:w="3321" w:type="pct"/>
            <w:gridSpan w:val="2"/>
            <w:noWrap w:val="0"/>
            <w:vAlign w:val="center"/>
          </w:tcPr>
          <w:p w14:paraId="27267AD7">
            <w:pPr>
              <w:pStyle w:val="30"/>
              <w:keepNext w:val="0"/>
              <w:keepLines w:val="0"/>
              <w:pageBreakBefore w:val="0"/>
              <w:widowControl/>
              <w:numPr>
                <w:ilvl w:val="0"/>
                <w:numId w:val="0"/>
              </w:numPr>
              <w:kinsoku/>
              <w:wordWrap/>
              <w:overflowPunct/>
              <w:topLinePunct w:val="0"/>
              <w:autoSpaceDE/>
              <w:autoSpaceDN/>
              <w:bidi w:val="0"/>
              <w:snapToGrid w:val="0"/>
              <w:spacing w:line="240" w:lineRule="auto"/>
              <w:ind w:left="0" w:leftChars="0" w:firstLine="0" w:firstLineChars="0"/>
              <w:textAlignment w:val="auto"/>
              <w:rPr>
                <w:rFonts w:hint="eastAsia" w:ascii="宋体" w:hAnsi="宋体" w:eastAsia="宋体" w:cs="宋体"/>
                <w:sz w:val="20"/>
                <w:szCs w:val="20"/>
              </w:rPr>
            </w:pPr>
            <w:r>
              <w:rPr>
                <w:rFonts w:hint="eastAsia" w:ascii="宋体" w:hAnsi="宋体" w:eastAsia="宋体" w:cs="宋体"/>
                <w:sz w:val="20"/>
                <w:szCs w:val="20"/>
              </w:rPr>
              <w:t>拟派项⽬</w:t>
            </w:r>
            <w:r>
              <w:rPr>
                <w:rFonts w:hint="eastAsia" w:ascii="宋体" w:hAnsi="宋体" w:eastAsia="宋体" w:cs="宋体"/>
                <w:sz w:val="20"/>
                <w:szCs w:val="20"/>
                <w:lang w:val="en-US" w:eastAsia="zh-CN"/>
              </w:rPr>
              <w:t>经理有中级职称的得2分；</w:t>
            </w:r>
          </w:p>
        </w:tc>
      </w:tr>
      <w:tr w14:paraId="3352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611" w:type="pct"/>
            <w:vMerge w:val="continue"/>
            <w:noWrap w:val="0"/>
            <w:vAlign w:val="center"/>
          </w:tcPr>
          <w:p w14:paraId="22EE6F99">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rPr>
            </w:pPr>
          </w:p>
        </w:tc>
        <w:tc>
          <w:tcPr>
            <w:tcW w:w="490" w:type="pct"/>
            <w:vMerge w:val="continue"/>
            <w:noWrap w:val="0"/>
            <w:vAlign w:val="center"/>
          </w:tcPr>
          <w:p w14:paraId="2C74664E">
            <w:pPr>
              <w:pStyle w:val="6"/>
              <w:keepNext w:val="0"/>
              <w:keepLines w:val="0"/>
              <w:pageBreakBefore w:val="0"/>
              <w:kinsoku/>
              <w:wordWrap/>
              <w:topLinePunct w:val="0"/>
              <w:bidi w:val="0"/>
              <w:spacing w:line="240" w:lineRule="auto"/>
              <w:ind w:firstLine="0"/>
              <w:jc w:val="center"/>
              <w:rPr>
                <w:rFonts w:hint="eastAsia" w:ascii="宋体" w:hAnsi="宋体" w:eastAsia="宋体" w:cs="宋体"/>
                <w:b/>
                <w:sz w:val="24"/>
                <w:szCs w:val="24"/>
                <w:highlight w:val="none"/>
                <w:lang w:val="en-US" w:eastAsia="zh-CN"/>
              </w:rPr>
            </w:pPr>
          </w:p>
        </w:tc>
        <w:tc>
          <w:tcPr>
            <w:tcW w:w="576" w:type="pct"/>
            <w:noWrap w:val="0"/>
            <w:vAlign w:val="center"/>
          </w:tcPr>
          <w:p w14:paraId="4D1B897D">
            <w:pPr>
              <w:pStyle w:val="31"/>
              <w:spacing w:before="81" w:beforeLines="25" w:after="81" w:afterLines="25"/>
              <w:jc w:val="center"/>
              <w:rPr>
                <w:rFonts w:hint="eastAsia" w:ascii="宋体" w:hAnsi="宋体" w:eastAsia="宋体" w:cs="Arial"/>
                <w:b w:val="0"/>
                <w:bCs w:val="0"/>
                <w:kern w:val="2"/>
                <w:sz w:val="21"/>
                <w:szCs w:val="21"/>
                <w:lang w:val="en-US" w:eastAsia="zh-CN"/>
              </w:rPr>
            </w:pPr>
            <w:r>
              <w:rPr>
                <w:rFonts w:hint="eastAsia" w:ascii="宋体" w:hAnsi="宋体" w:eastAsia="宋体" w:cs="Arial"/>
                <w:b w:val="0"/>
                <w:bCs w:val="0"/>
                <w:kern w:val="2"/>
                <w:sz w:val="21"/>
                <w:szCs w:val="21"/>
                <w:lang w:val="en-US" w:eastAsia="zh-CN"/>
              </w:rPr>
              <w:t>质保期</w:t>
            </w:r>
          </w:p>
          <w:p w14:paraId="1C9E898E">
            <w:pPr>
              <w:pStyle w:val="31"/>
              <w:spacing w:before="81" w:beforeLines="25" w:after="81" w:afterLines="25"/>
              <w:jc w:val="center"/>
              <w:rPr>
                <w:rFonts w:hint="eastAsia"/>
                <w:sz w:val="20"/>
                <w:szCs w:val="20"/>
              </w:rPr>
            </w:pPr>
            <w:r>
              <w:rPr>
                <w:rFonts w:hint="eastAsia" w:ascii="宋体" w:hAnsi="宋体" w:eastAsia="宋体" w:cs="Arial"/>
                <w:b w:val="0"/>
                <w:bCs w:val="0"/>
                <w:kern w:val="2"/>
                <w:sz w:val="21"/>
                <w:szCs w:val="21"/>
              </w:rPr>
              <w:t>(</w:t>
            </w:r>
            <w:r>
              <w:rPr>
                <w:rFonts w:hint="eastAsia" w:ascii="宋体" w:hAnsi="宋体" w:eastAsia="宋体" w:cs="Arial"/>
                <w:b w:val="0"/>
                <w:bCs w:val="0"/>
                <w:kern w:val="2"/>
                <w:sz w:val="21"/>
                <w:szCs w:val="21"/>
                <w:lang w:val="en-US" w:eastAsia="zh-CN"/>
              </w:rPr>
              <w:t>3</w:t>
            </w:r>
            <w:r>
              <w:rPr>
                <w:rFonts w:hint="eastAsia" w:ascii="宋体" w:hAnsi="宋体" w:eastAsia="宋体" w:cs="Arial"/>
                <w:b w:val="0"/>
                <w:bCs w:val="0"/>
                <w:kern w:val="2"/>
                <w:sz w:val="21"/>
                <w:szCs w:val="21"/>
              </w:rPr>
              <w:t>分)</w:t>
            </w:r>
          </w:p>
        </w:tc>
        <w:tc>
          <w:tcPr>
            <w:tcW w:w="3321" w:type="pct"/>
            <w:gridSpan w:val="2"/>
            <w:noWrap w:val="0"/>
            <w:vAlign w:val="top"/>
          </w:tcPr>
          <w:p w14:paraId="273307FC">
            <w:pPr>
              <w:pStyle w:val="31"/>
              <w:spacing w:before="81" w:beforeLines="25" w:after="81" w:afterLines="25"/>
              <w:jc w:val="left"/>
              <w:rPr>
                <w:rFonts w:hint="eastAsia" w:ascii="宋体" w:hAnsi="宋体" w:eastAsia="宋体" w:cs="宋体"/>
                <w:sz w:val="20"/>
                <w:szCs w:val="20"/>
              </w:rPr>
            </w:pPr>
            <w:r>
              <w:rPr>
                <w:rFonts w:hint="eastAsia" w:ascii="宋体" w:hAnsi="宋体" w:eastAsia="宋体" w:cs="宋体"/>
                <w:b w:val="0"/>
                <w:bCs w:val="0"/>
                <w:kern w:val="2"/>
                <w:sz w:val="20"/>
                <w:szCs w:val="20"/>
                <w:lang w:val="en-US" w:eastAsia="zh-CN"/>
              </w:rPr>
              <w:t>质保期在满足招标文件要求2年要求的基础上，每增加一年质保期加1分，最多加3分。</w:t>
            </w:r>
          </w:p>
        </w:tc>
      </w:tr>
    </w:tbl>
    <w:p w14:paraId="741579C3">
      <w:pPr>
        <w:pageBreakBefore w:val="0"/>
        <w:numPr>
          <w:ilvl w:val="0"/>
          <w:numId w:val="0"/>
        </w:numPr>
        <w:wordWrap w:val="0"/>
        <w:autoSpaceDE/>
        <w:autoSpaceDN/>
        <w:bidi w:val="0"/>
        <w:snapToGrid/>
        <w:spacing w:line="360" w:lineRule="auto"/>
        <w:ind w:left="0" w:right="0" w:firstLine="0"/>
        <w:jc w:val="both"/>
        <w:rPr>
          <w:rFonts w:hint="default" w:ascii="宋体" w:hAnsi="宋体" w:eastAsia="宋体" w:cs="宋体"/>
          <w:b/>
          <w:sz w:val="28"/>
          <w:szCs w:val="28"/>
          <w:lang w:val="en-US" w:eastAsia="zh-CN"/>
        </w:rPr>
      </w:pPr>
    </w:p>
    <w:p w14:paraId="718F58F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4"/>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综合评分表各项要求</w:t>
      </w:r>
      <w:r>
        <w:rPr>
          <w:rFonts w:ascii="宋体" w:hAnsi="宋体" w:eastAsia="宋体" w:cs="宋体"/>
          <w:b w:val="0"/>
          <w:color w:val="000000"/>
          <w:sz w:val="24"/>
          <w:szCs w:val="24"/>
        </w:rPr>
        <w:t>..</w:t>
      </w:r>
      <w:bookmarkStart w:id="1" w:name="_GoBack"/>
      <w:bookmarkEnd w:id="1"/>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ascii="宋体" w:hAnsi="宋体" w:eastAsia="宋体" w:cs="宋体"/>
          <w:b w:val="0"/>
          <w:color w:val="000000"/>
          <w:sz w:val="24"/>
          <w:szCs w:val="24"/>
        </w:rPr>
      </w:pPr>
      <w:r>
        <w:rPr>
          <w:rFonts w:hint="eastAsia" w:ascii="宋体" w:hAnsi="宋体" w:eastAsia="宋体" w:cs="宋体"/>
          <w:b w:val="0"/>
          <w:color w:val="000000"/>
          <w:sz w:val="24"/>
          <w:szCs w:val="24"/>
          <w:lang w:val="en-US" w:eastAsia="zh-CN" w:bidi="ar-SA"/>
        </w:rPr>
        <w:t>十五、工程量清单</w:t>
      </w:r>
      <w:r>
        <w:rPr>
          <w:rFonts w:ascii="宋体" w:hAnsi="宋体" w:eastAsia="宋体" w:cs="宋体"/>
          <w:b w:val="0"/>
          <w:color w:val="000000"/>
          <w:sz w:val="24"/>
          <w:szCs w:val="24"/>
        </w:rPr>
        <w:t>...................................................</w:t>
      </w:r>
    </w:p>
    <w:p w14:paraId="76EEAD88">
      <w:pPr>
        <w:pStyle w:val="2"/>
        <w:rPr>
          <w:rFonts w:hint="default" w:eastAsia="宋体"/>
          <w:lang w:val="en-US" w:eastAsia="zh-CN"/>
        </w:rPr>
      </w:pPr>
      <w:r>
        <w:rPr>
          <w:rFonts w:hint="eastAsia" w:ascii="宋体" w:hAnsi="宋体" w:eastAsia="宋体" w:cs="宋体"/>
          <w:b w:val="0"/>
          <w:color w:val="000000"/>
          <w:sz w:val="24"/>
          <w:szCs w:val="24"/>
          <w:lang w:val="en-US" w:eastAsia="zh-CN"/>
        </w:rPr>
        <w:t>十六、其他.........................................................</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3"/>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入场时间</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工程、服务项目除外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2"/>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w:t>
      </w:r>
    </w:p>
    <w:p w14:paraId="00C9085F">
      <w:pPr>
        <w:pStyle w:val="5"/>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5"/>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5"/>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5"/>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5"/>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5"/>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5"/>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5"/>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5"/>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5"/>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5"/>
        <w:rPr>
          <w:rFonts w:hint="eastAsia"/>
        </w:rPr>
      </w:pPr>
    </w:p>
    <w:p w14:paraId="17F60C46">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综合评分表各项要求</w:t>
      </w:r>
    </w:p>
    <w:p w14:paraId="4EF406D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76978BF3">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leftChars="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14A4798"/>
    <w:rsid w:val="11736C51"/>
    <w:rsid w:val="11AB1717"/>
    <w:rsid w:val="11EF4694"/>
    <w:rsid w:val="13822DB7"/>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5080C92"/>
    <w:rsid w:val="75554A93"/>
    <w:rsid w:val="75E17EDC"/>
    <w:rsid w:val="764374DD"/>
    <w:rsid w:val="76B56870"/>
    <w:rsid w:val="76B838A9"/>
    <w:rsid w:val="78564BB1"/>
    <w:rsid w:val="79003D12"/>
    <w:rsid w:val="7A8D5099"/>
    <w:rsid w:val="7B221E98"/>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3">
    <w:name w:val="heading 1"/>
    <w:basedOn w:val="1"/>
    <w:next w:val="1"/>
    <w:autoRedefine/>
    <w:qFormat/>
    <w:uiPriority w:val="7"/>
    <w:pPr>
      <w:spacing w:before="340" w:after="330" w:line="578" w:lineRule="auto"/>
      <w:outlineLvl w:val="0"/>
    </w:pPr>
    <w:rPr>
      <w:b/>
      <w:sz w:val="44"/>
      <w:szCs w:val="44"/>
    </w:rPr>
  </w:style>
  <w:style w:type="paragraph" w:styleId="4">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5">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4">
    <w:name w:val="Default Paragraph Font"/>
    <w:autoRedefine/>
    <w:semiHidden/>
    <w:qFormat/>
    <w:uiPriority w:val="2"/>
  </w:style>
  <w:style w:type="table" w:default="1" w:styleId="12">
    <w:name w:val="Normal Table"/>
    <w:semiHidden/>
    <w:qFormat/>
    <w:uiPriority w:val="3"/>
    <w:tblPr>
      <w:tblCellMar>
        <w:top w:w="0" w:type="dxa"/>
        <w:left w:w="108" w:type="dxa"/>
        <w:bottom w:w="0" w:type="dxa"/>
        <w:right w:w="108" w:type="dxa"/>
      </w:tblCellMar>
    </w:tblPr>
  </w:style>
  <w:style w:type="paragraph" w:styleId="2">
    <w:name w:val="Body Text 2"/>
    <w:basedOn w:val="1"/>
    <w:unhideWhenUsed/>
    <w:qFormat/>
    <w:uiPriority w:val="99"/>
    <w:pPr>
      <w:spacing w:line="480" w:lineRule="auto"/>
    </w:pPr>
  </w:style>
  <w:style w:type="paragraph" w:styleId="6">
    <w:name w:val="Normal Indent"/>
    <w:basedOn w:val="1"/>
    <w:qFormat/>
    <w:uiPriority w:val="0"/>
    <w:pPr>
      <w:adjustRightInd w:val="0"/>
      <w:spacing w:line="360" w:lineRule="atLeast"/>
      <w:ind w:firstLine="482"/>
      <w:textAlignment w:val="baseline"/>
    </w:pPr>
    <w:rPr>
      <w:kern w:val="0"/>
      <w:sz w:val="24"/>
      <w:szCs w:val="20"/>
    </w:rPr>
  </w:style>
  <w:style w:type="paragraph" w:styleId="7">
    <w:name w:val="Body Text"/>
    <w:basedOn w:val="1"/>
    <w:next w:val="1"/>
    <w:qFormat/>
    <w:uiPriority w:val="1"/>
    <w:rPr>
      <w:rFonts w:ascii="微软雅黑" w:hAnsi="微软雅黑" w:eastAsia="微软雅黑" w:cs="微软雅黑"/>
      <w:sz w:val="15"/>
      <w:szCs w:val="15"/>
      <w:lang w:val="zh-CN" w:bidi="zh-CN"/>
    </w:rPr>
  </w:style>
  <w:style w:type="paragraph" w:styleId="8">
    <w:name w:val="Plain Text"/>
    <w:basedOn w:val="1"/>
    <w:qFormat/>
    <w:uiPriority w:val="0"/>
    <w:rPr>
      <w:rFonts w:ascii="宋体" w:hAnsi="Courier New"/>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table" w:styleId="13">
    <w:name w:val="Table Grid"/>
    <w:basedOn w:val="12"/>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4"/>
    <w:autoRedefine/>
    <w:qFormat/>
    <w:uiPriority w:val="0"/>
    <w:rPr>
      <w:rFonts w:hint="eastAsia" w:ascii="宋体" w:hAnsi="宋体" w:eastAsia="宋体" w:cs="宋体"/>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4"/>
    <w:autoRedefine/>
    <w:qFormat/>
    <w:uiPriority w:val="0"/>
    <w:rPr>
      <w:rFonts w:ascii="Calibri" w:hAnsi="Calibri" w:cs="Calibri"/>
      <w:color w:val="000000"/>
      <w:sz w:val="28"/>
      <w:szCs w:val="28"/>
      <w:u w:val="none"/>
    </w:rPr>
  </w:style>
  <w:style w:type="character" w:customStyle="1" w:styleId="22">
    <w:name w:val="font21"/>
    <w:basedOn w:val="14"/>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 w:type="paragraph" w:customStyle="1" w:styleId="28">
    <w:name w:val="正文_4_0"/>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29">
    <w:name w:val="15_1"/>
    <w:basedOn w:val="14"/>
    <w:qFormat/>
    <w:uiPriority w:val="0"/>
    <w:rPr>
      <w:rFonts w:hint="default" w:ascii="Times New Roman" w:hAnsi="Times New Roman" w:eastAsia="Times New Roman" w:cs="Times New Roman"/>
    </w:rPr>
  </w:style>
  <w:style w:type="paragraph" w:customStyle="1" w:styleId="30">
    <w:name w:val="Normal"/>
    <w:qFormat/>
    <w:uiPriority w:val="0"/>
    <w:pPr>
      <w:widowControl w:val="0"/>
      <w:adjustRightInd w:val="0"/>
      <w:spacing w:line="315" w:lineRule="atLeast"/>
      <w:jc w:val="both"/>
      <w:textAlignment w:val="baseline"/>
    </w:pPr>
    <w:rPr>
      <w:rFonts w:ascii="宋体" w:hAnsi="Calibri" w:eastAsia="宋体" w:cs="Times New Roman"/>
      <w:sz w:val="24"/>
      <w:lang w:val="en-US" w:eastAsia="zh-CN" w:bidi="ar-SA"/>
    </w:rPr>
  </w:style>
  <w:style w:type="paragraph" w:customStyle="1" w:styleId="31">
    <w:name w:val="Normal_2_0"/>
    <w:qFormat/>
    <w:uiPriority w:val="0"/>
    <w:pPr>
      <w:widowControl w:val="0"/>
      <w:jc w:val="both"/>
    </w:pPr>
    <w:rPr>
      <w:rFonts w:ascii="Cambria Math" w:hAnsi="Cambria Math" w:eastAsia="等线" w:cs="Cambria Math"/>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1627</Words>
  <Characters>1688</Characters>
  <Lines>0</Lines>
  <Paragraphs>0</Paragraphs>
  <TotalTime>4</TotalTime>
  <ScaleCrop>false</ScaleCrop>
  <LinksUpToDate>false</LinksUpToDate>
  <CharactersWithSpaces>1770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2026-07-29T08:23:21Z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D6A7C89A08DA42F3B1FB4A782F8855E5_13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