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78FD7398">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激光与强光治疗仪项目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2A4E7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AF36C2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6F2F6E0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679250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22CAC6D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311096F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7491887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55BD5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08317C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62CE21B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激光与强光治疗仪</w:t>
            </w:r>
            <w:r>
              <w:rPr>
                <w:rFonts w:hint="eastAsia" w:ascii="宋体" w:hAnsi="宋体" w:eastAsia="宋体"/>
                <w:sz w:val="28"/>
                <w:szCs w:val="28"/>
                <w:lang w:val="en-US" w:eastAsia="zh-CN"/>
              </w:rPr>
              <w:t>项目</w:t>
            </w:r>
          </w:p>
        </w:tc>
        <w:tc>
          <w:tcPr>
            <w:tcW w:w="1200" w:type="dxa"/>
            <w:vAlign w:val="center"/>
          </w:tcPr>
          <w:p w14:paraId="6A1BF78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79F26B0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26D77C9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600000</w:t>
            </w:r>
          </w:p>
        </w:tc>
        <w:tc>
          <w:tcPr>
            <w:tcW w:w="1650" w:type="dxa"/>
            <w:vAlign w:val="center"/>
          </w:tcPr>
          <w:p w14:paraId="380790B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600000</w:t>
            </w:r>
          </w:p>
        </w:tc>
      </w:tr>
      <w:tr w14:paraId="30169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B1B03D5">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619A6D5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bookmarkStart w:id="1" w:name="_GoBack"/>
            <w:bookmarkEnd w:id="1"/>
          </w:p>
        </w:tc>
        <w:tc>
          <w:tcPr>
            <w:tcW w:w="1650" w:type="dxa"/>
            <w:vAlign w:val="center"/>
          </w:tcPr>
          <w:p w14:paraId="2AEB43D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600000</w:t>
            </w:r>
          </w:p>
        </w:tc>
      </w:tr>
      <w:tr w14:paraId="03B07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5AD21C2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6A0959B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24178DF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608EB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9FE848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3EA47A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AFD4E1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43B5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23AE8D8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4186360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51EA365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设备验收通过后支付总货款的90%，验收通过使用1年后支付总货款的10%。</w:t>
            </w:r>
          </w:p>
        </w:tc>
      </w:tr>
      <w:tr w14:paraId="32776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3005ED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7B80B4C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203E36B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21694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12D6BB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10BD469F">
            <w:pPr>
              <w:widowControl/>
              <w:ind w:firstLine="840" w:firstLineChars="300"/>
              <w:jc w:val="both"/>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210D676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43C4198A">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本项目包含1台激光与强光治疗仪，用于皮肤疾病的强光治疗。</w:t>
      </w:r>
    </w:p>
    <w:p w14:paraId="34AB36EE">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4CD61A8D">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kern w:val="0"/>
          <w:sz w:val="24"/>
          <w:szCs w:val="24"/>
          <w:lang w:val="en-US" w:eastAsia="zh-CN"/>
        </w:rPr>
        <w:t>激光与强光治疗仪</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7D3FD5FA">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11576347">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43BF0E11">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263F162D">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5237D16">
        <w:tblPrEx>
          <w:tblCellMar>
            <w:top w:w="0" w:type="dxa"/>
            <w:left w:w="108" w:type="dxa"/>
            <w:bottom w:w="0" w:type="dxa"/>
            <w:right w:w="108" w:type="dxa"/>
          </w:tblCellMar>
        </w:tblPrEx>
        <w:trPr>
          <w:trHeight w:val="302" w:hRule="atLeast"/>
        </w:trPr>
        <w:tc>
          <w:tcPr>
            <w:tcW w:w="692" w:type="dxa"/>
            <w:tcBorders>
              <w:top w:val="single" w:color="auto" w:sz="4" w:space="0"/>
              <w:left w:val="single" w:color="auto" w:sz="4" w:space="0"/>
              <w:bottom w:val="single" w:color="auto" w:sz="4" w:space="0"/>
              <w:right w:val="single" w:color="auto" w:sz="4" w:space="0"/>
            </w:tcBorders>
            <w:vAlign w:val="center"/>
          </w:tcPr>
          <w:p w14:paraId="5ACB4624">
            <w:pPr>
              <w:widowControl/>
              <w:spacing w:line="240" w:lineRule="auto"/>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77712A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2A751C1E">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pacing w:val="3"/>
                <w:sz w:val="21"/>
                <w:szCs w:val="21"/>
              </w:rPr>
              <w:t>光源：</w:t>
            </w:r>
            <w:r>
              <w:rPr>
                <w:rFonts w:hint="eastAsia" w:ascii="宋体" w:hAnsi="宋体" w:eastAsia="宋体" w:cs="宋体"/>
                <w:spacing w:val="7"/>
                <w:sz w:val="21"/>
                <w:szCs w:val="21"/>
              </w:rPr>
              <w:t>原装氙灯</w:t>
            </w:r>
            <w:r>
              <w:rPr>
                <w:rFonts w:hint="eastAsia" w:ascii="宋体" w:hAnsi="宋体" w:eastAsia="宋体" w:cs="宋体"/>
                <w:spacing w:val="7"/>
                <w:sz w:val="21"/>
                <w:szCs w:val="21"/>
                <w:lang w:eastAsia="zh-CN"/>
              </w:rPr>
              <w:t>。</w:t>
            </w:r>
          </w:p>
        </w:tc>
      </w:tr>
      <w:tr w14:paraId="4EB2EC5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8D29D2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280D0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3BEF93D">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皮肤接触晶体：蓝宝石导光晶体</w:t>
            </w:r>
            <w:r>
              <w:rPr>
                <w:rFonts w:hint="eastAsia" w:ascii="宋体" w:hAnsi="宋体" w:eastAsia="宋体" w:cs="宋体"/>
                <w:spacing w:val="3"/>
                <w:sz w:val="21"/>
                <w:szCs w:val="21"/>
                <w:lang w:eastAsia="zh-CN"/>
              </w:rPr>
              <w:t>。</w:t>
            </w:r>
          </w:p>
        </w:tc>
      </w:tr>
      <w:tr w14:paraId="02A1718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D5FD37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pacing w:val="6"/>
                <w:sz w:val="21"/>
                <w:szCs w:val="21"/>
              </w:rPr>
              <w:t>★</w:t>
            </w:r>
          </w:p>
        </w:tc>
        <w:tc>
          <w:tcPr>
            <w:tcW w:w="750" w:type="dxa"/>
            <w:tcBorders>
              <w:top w:val="single" w:color="auto" w:sz="4" w:space="0"/>
              <w:left w:val="nil"/>
              <w:bottom w:val="single" w:color="auto" w:sz="4" w:space="0"/>
              <w:right w:val="single" w:color="auto" w:sz="4" w:space="0"/>
            </w:tcBorders>
            <w:vAlign w:val="center"/>
          </w:tcPr>
          <w:p w14:paraId="3584EDD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6C8770A4">
            <w:pPr>
              <w:widowControl/>
              <w:spacing w:line="240" w:lineRule="auto"/>
              <w:jc w:val="left"/>
              <w:rPr>
                <w:rFonts w:hint="eastAsia" w:ascii="宋体" w:hAnsi="宋体" w:eastAsia="宋体" w:cs="宋体"/>
                <w:spacing w:val="3"/>
                <w:sz w:val="21"/>
                <w:szCs w:val="21"/>
              </w:rPr>
            </w:pPr>
            <w:r>
              <w:rPr>
                <w:rFonts w:hint="eastAsia" w:ascii="宋体" w:hAnsi="宋体" w:eastAsia="宋体" w:cs="宋体"/>
                <w:spacing w:val="3"/>
                <w:sz w:val="21"/>
                <w:szCs w:val="21"/>
              </w:rPr>
              <w:t>输出波长</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lang w:val="en-US" w:eastAsia="zh-CN"/>
              </w:rPr>
              <w:t>具备≥</w:t>
            </w:r>
            <w:r>
              <w:rPr>
                <w:rFonts w:hint="eastAsia" w:ascii="宋体" w:hAnsi="宋体" w:eastAsia="宋体" w:cs="宋体"/>
                <w:spacing w:val="3"/>
                <w:sz w:val="21"/>
                <w:szCs w:val="21"/>
              </w:rPr>
              <w:t>10 种滤光片</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lang w:val="en-US" w:eastAsia="zh-CN"/>
              </w:rPr>
              <w:t>至少包括</w:t>
            </w:r>
            <w:r>
              <w:rPr>
                <w:rFonts w:hint="eastAsia" w:ascii="宋体" w:hAnsi="宋体" w:eastAsia="宋体" w:cs="宋体"/>
                <w:spacing w:val="3"/>
                <w:sz w:val="21"/>
                <w:szCs w:val="21"/>
              </w:rPr>
              <w:t>Acne</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515nm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560nm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590nm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615nm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640nm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695nm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755nm</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Vascular</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Calibration</w:t>
            </w:r>
            <w:r>
              <w:rPr>
                <w:rFonts w:hint="eastAsia" w:ascii="宋体" w:hAnsi="宋体" w:eastAsia="宋体" w:cs="宋体"/>
                <w:spacing w:val="3"/>
                <w:sz w:val="21"/>
                <w:szCs w:val="21"/>
                <w:lang w:val="en-US" w:eastAsia="zh-CN"/>
              </w:rPr>
              <w:t>。</w:t>
            </w:r>
          </w:p>
        </w:tc>
      </w:tr>
      <w:tr w14:paraId="23BB3E7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118EA8F">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pacing w:val="5"/>
                <w:sz w:val="21"/>
                <w:szCs w:val="21"/>
              </w:rPr>
              <w:t>★</w:t>
            </w:r>
          </w:p>
        </w:tc>
        <w:tc>
          <w:tcPr>
            <w:tcW w:w="750" w:type="dxa"/>
            <w:tcBorders>
              <w:top w:val="single" w:color="auto" w:sz="4" w:space="0"/>
              <w:left w:val="nil"/>
              <w:bottom w:val="single" w:color="auto" w:sz="4" w:space="0"/>
              <w:right w:val="single" w:color="auto" w:sz="4" w:space="0"/>
            </w:tcBorders>
            <w:vAlign w:val="center"/>
          </w:tcPr>
          <w:p w14:paraId="7952EF2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07D7C206">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能量密度：</w:t>
            </w:r>
            <w:r>
              <w:rPr>
                <w:rFonts w:hint="eastAsia" w:ascii="宋体" w:hAnsi="宋体" w:eastAsia="宋体" w:cs="宋体"/>
                <w:spacing w:val="3"/>
                <w:sz w:val="21"/>
                <w:szCs w:val="21"/>
                <w:lang w:val="en-US" w:eastAsia="zh-CN"/>
              </w:rPr>
              <w:t>至少涵盖</w:t>
            </w:r>
            <w:r>
              <w:rPr>
                <w:rFonts w:hint="eastAsia" w:ascii="宋体" w:hAnsi="宋体" w:eastAsia="宋体" w:cs="宋体"/>
                <w:spacing w:val="3"/>
                <w:sz w:val="21"/>
                <w:szCs w:val="21"/>
              </w:rPr>
              <w:t>5～40J/cm2 ，步长 1J/cm2 ；子脉冲能量密度独立可调</w:t>
            </w:r>
            <w:r>
              <w:rPr>
                <w:rFonts w:hint="eastAsia" w:ascii="宋体" w:hAnsi="宋体" w:eastAsia="宋体" w:cs="宋体"/>
                <w:spacing w:val="3"/>
                <w:sz w:val="21"/>
                <w:szCs w:val="21"/>
                <w:lang w:eastAsia="zh-CN"/>
              </w:rPr>
              <w:t>。</w:t>
            </w:r>
          </w:p>
        </w:tc>
      </w:tr>
      <w:tr w14:paraId="13A4744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7BF88D4">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03916D3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4CAF921B">
            <w:pPr>
              <w:widowControl/>
              <w:spacing w:line="240" w:lineRule="auto"/>
              <w:jc w:val="left"/>
              <w:rPr>
                <w:rFonts w:hint="eastAsia" w:ascii="宋体" w:hAnsi="宋体" w:eastAsia="宋体" w:cs="宋体"/>
                <w:spacing w:val="3"/>
                <w:sz w:val="21"/>
                <w:szCs w:val="21"/>
              </w:rPr>
            </w:pPr>
            <w:r>
              <w:rPr>
                <w:rFonts w:hint="eastAsia" w:ascii="宋体" w:hAnsi="宋体" w:eastAsia="宋体" w:cs="宋体"/>
                <w:spacing w:val="3"/>
                <w:sz w:val="21"/>
                <w:szCs w:val="21"/>
              </w:rPr>
              <w:t>最大</w:t>
            </w:r>
            <w:r>
              <w:rPr>
                <w:rFonts w:hint="eastAsia" w:ascii="宋体" w:hAnsi="宋体" w:eastAsia="宋体" w:cs="宋体"/>
                <w:spacing w:val="3"/>
                <w:sz w:val="21"/>
                <w:szCs w:val="21"/>
                <w:lang w:val="en-US" w:eastAsia="zh-CN"/>
              </w:rPr>
              <w:t>能量</w:t>
            </w:r>
            <w:r>
              <w:rPr>
                <w:rFonts w:hint="eastAsia" w:ascii="宋体" w:hAnsi="宋体" w:eastAsia="宋体" w:cs="宋体"/>
                <w:spacing w:val="3"/>
                <w:sz w:val="21"/>
                <w:szCs w:val="21"/>
              </w:rPr>
              <w:t>：</w:t>
            </w:r>
            <w:r>
              <w:rPr>
                <w:rFonts w:hint="eastAsia" w:ascii="宋体" w:hAnsi="宋体" w:eastAsia="宋体" w:cs="宋体"/>
                <w:spacing w:val="3"/>
                <w:sz w:val="21"/>
                <w:szCs w:val="21"/>
                <w:lang w:val="en-US" w:eastAsia="zh-CN"/>
              </w:rPr>
              <w:t>≥</w:t>
            </w:r>
            <w:r>
              <w:rPr>
                <w:rFonts w:hint="eastAsia" w:ascii="宋体" w:hAnsi="宋体" w:eastAsia="宋体" w:cs="宋体"/>
                <w:spacing w:val="3"/>
                <w:sz w:val="21"/>
                <w:szCs w:val="21"/>
              </w:rPr>
              <w:t>210J</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 xml:space="preserve"> </w:t>
            </w:r>
          </w:p>
        </w:tc>
      </w:tr>
      <w:tr w14:paraId="4DA4A49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90C5C9E">
            <w:pPr>
              <w:widowControl/>
              <w:spacing w:line="240"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w:t>
            </w:r>
          </w:p>
        </w:tc>
        <w:tc>
          <w:tcPr>
            <w:tcW w:w="750" w:type="dxa"/>
            <w:tcBorders>
              <w:top w:val="single" w:color="auto" w:sz="4" w:space="0"/>
              <w:left w:val="nil"/>
              <w:bottom w:val="single" w:color="auto" w:sz="4" w:space="0"/>
              <w:right w:val="single" w:color="auto" w:sz="4" w:space="0"/>
            </w:tcBorders>
            <w:vAlign w:val="center"/>
          </w:tcPr>
          <w:p w14:paraId="01FC910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4D87E8BF">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脉冲输出方式：</w:t>
            </w:r>
            <w:r>
              <w:rPr>
                <w:rFonts w:hint="eastAsia" w:ascii="宋体" w:hAnsi="宋体" w:eastAsia="宋体" w:cs="宋体"/>
                <w:spacing w:val="3"/>
                <w:sz w:val="21"/>
                <w:szCs w:val="21"/>
                <w:lang w:val="en-US" w:eastAsia="zh-CN"/>
              </w:rPr>
              <w:t>具备</w:t>
            </w:r>
            <w:r>
              <w:rPr>
                <w:rFonts w:hint="eastAsia" w:ascii="宋体" w:hAnsi="宋体" w:eastAsia="宋体" w:cs="宋体"/>
                <w:spacing w:val="3"/>
                <w:sz w:val="21"/>
                <w:szCs w:val="21"/>
              </w:rPr>
              <w:t>单脉冲、双脉冲、三脉冲、飞点模式等输出方式任意可选</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可组合搭配脉冲串总宽度</w:t>
            </w:r>
            <w:r>
              <w:rPr>
                <w:rFonts w:hint="eastAsia" w:ascii="宋体" w:hAnsi="宋体" w:eastAsia="宋体" w:cs="宋体"/>
                <w:spacing w:val="3"/>
                <w:sz w:val="21"/>
                <w:szCs w:val="21"/>
                <w:lang w:val="en-US" w:eastAsia="zh-CN"/>
              </w:rPr>
              <w:t>≥</w:t>
            </w:r>
            <w:r>
              <w:rPr>
                <w:rFonts w:hint="eastAsia" w:ascii="宋体" w:hAnsi="宋体" w:eastAsia="宋体" w:cs="宋体"/>
                <w:spacing w:val="3"/>
                <w:sz w:val="21"/>
                <w:szCs w:val="21"/>
              </w:rPr>
              <w:t>1000ms</w:t>
            </w:r>
            <w:r>
              <w:rPr>
                <w:rFonts w:hint="eastAsia" w:ascii="宋体" w:hAnsi="宋体" w:eastAsia="宋体" w:cs="宋体"/>
                <w:spacing w:val="3"/>
                <w:sz w:val="21"/>
                <w:szCs w:val="21"/>
                <w:lang w:eastAsia="zh-CN"/>
              </w:rPr>
              <w:t>。</w:t>
            </w:r>
          </w:p>
        </w:tc>
      </w:tr>
      <w:tr w14:paraId="77A7C87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8D67490">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1002C20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39A2D120">
            <w:pPr>
              <w:widowControl/>
              <w:spacing w:line="240" w:lineRule="auto"/>
              <w:jc w:val="left"/>
              <w:rPr>
                <w:rFonts w:hint="eastAsia" w:ascii="宋体" w:hAnsi="宋体" w:eastAsia="宋体" w:cs="宋体"/>
                <w:spacing w:val="3"/>
                <w:sz w:val="21"/>
                <w:szCs w:val="21"/>
                <w:lang w:val="en-US"/>
              </w:rPr>
            </w:pPr>
            <w:r>
              <w:rPr>
                <w:rFonts w:hint="eastAsia" w:ascii="宋体" w:hAnsi="宋体" w:eastAsia="宋体" w:cs="宋体"/>
                <w:spacing w:val="3"/>
                <w:sz w:val="21"/>
                <w:szCs w:val="21"/>
                <w:lang w:val="en-US" w:eastAsia="zh-CN"/>
              </w:rPr>
              <w:t>手具治疗按钮：≥3个。</w:t>
            </w:r>
          </w:p>
        </w:tc>
      </w:tr>
      <w:tr w14:paraId="266C60F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372CCBA">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70C74E3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189C2D0A">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脉冲宽度：2～20ms</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步长 0.5ms，任意可设；子脉冲宽度独立可调</w:t>
            </w:r>
            <w:r>
              <w:rPr>
                <w:rFonts w:hint="eastAsia" w:ascii="宋体" w:hAnsi="宋体" w:eastAsia="宋体" w:cs="宋体"/>
                <w:spacing w:val="3"/>
                <w:sz w:val="21"/>
                <w:szCs w:val="21"/>
                <w:lang w:eastAsia="zh-CN"/>
              </w:rPr>
              <w:t>。</w:t>
            </w:r>
          </w:p>
        </w:tc>
      </w:tr>
      <w:tr w14:paraId="18894D2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3F3F45F">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49B6550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7DB1BF92">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脉冲间隔</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5～150ms</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子脉冲间隔可单独设定</w:t>
            </w:r>
            <w:r>
              <w:rPr>
                <w:rFonts w:hint="eastAsia" w:ascii="宋体" w:hAnsi="宋体" w:eastAsia="宋体" w:cs="宋体"/>
                <w:spacing w:val="3"/>
                <w:sz w:val="21"/>
                <w:szCs w:val="21"/>
                <w:lang w:eastAsia="zh-CN"/>
              </w:rPr>
              <w:t>。</w:t>
            </w:r>
          </w:p>
        </w:tc>
      </w:tr>
      <w:tr w14:paraId="50633C7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5A46B6E">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4D3E998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41D62E0A">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脉冲重复频率：</w:t>
            </w:r>
            <w:r>
              <w:rPr>
                <w:rFonts w:hint="eastAsia" w:ascii="宋体" w:hAnsi="宋体" w:eastAsia="宋体" w:cs="宋体"/>
                <w:spacing w:val="3"/>
                <w:sz w:val="21"/>
                <w:szCs w:val="21"/>
                <w:lang w:val="en-US" w:eastAsia="zh-CN"/>
              </w:rPr>
              <w:t>至少</w:t>
            </w:r>
            <w:r>
              <w:rPr>
                <w:rFonts w:hint="eastAsia" w:ascii="宋体" w:hAnsi="宋体" w:eastAsia="宋体" w:cs="宋体"/>
                <w:spacing w:val="3"/>
                <w:sz w:val="21"/>
                <w:szCs w:val="21"/>
              </w:rPr>
              <w:t>“单次 ”、“0.5Hz ”、“1Hz ”、“2Hz ”、“3Hz ”可以选择</w:t>
            </w:r>
            <w:r>
              <w:rPr>
                <w:rFonts w:hint="eastAsia" w:ascii="宋体" w:hAnsi="宋体" w:eastAsia="宋体" w:cs="宋体"/>
                <w:spacing w:val="3"/>
                <w:sz w:val="21"/>
                <w:szCs w:val="21"/>
                <w:lang w:eastAsia="zh-CN"/>
              </w:rPr>
              <w:t>。</w:t>
            </w:r>
          </w:p>
        </w:tc>
      </w:tr>
      <w:tr w14:paraId="31B8F77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32ED5D4">
            <w:pPr>
              <w:widowControl/>
              <w:spacing w:line="240"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w:t>
            </w:r>
          </w:p>
        </w:tc>
        <w:tc>
          <w:tcPr>
            <w:tcW w:w="750" w:type="dxa"/>
            <w:tcBorders>
              <w:top w:val="single" w:color="auto" w:sz="4" w:space="0"/>
              <w:left w:val="nil"/>
              <w:bottom w:val="single" w:color="auto" w:sz="4" w:space="0"/>
              <w:right w:val="single" w:color="auto" w:sz="4" w:space="0"/>
            </w:tcBorders>
            <w:vAlign w:val="center"/>
          </w:tcPr>
          <w:p w14:paraId="44DD00B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39976663">
            <w:pPr>
              <w:widowControl/>
              <w:spacing w:line="240" w:lineRule="auto"/>
              <w:jc w:val="left"/>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光斑尺寸：</w:t>
            </w:r>
            <w:r>
              <w:rPr>
                <w:rFonts w:hint="eastAsia" w:ascii="宋体" w:hAnsi="宋体" w:eastAsia="宋体" w:cs="宋体"/>
                <w:spacing w:val="3"/>
                <w:sz w:val="21"/>
                <w:szCs w:val="21"/>
                <w:lang w:val="en-US" w:eastAsia="zh-CN"/>
              </w:rPr>
              <w:t>≥</w:t>
            </w:r>
            <w:r>
              <w:rPr>
                <w:rFonts w:hint="eastAsia" w:ascii="宋体" w:hAnsi="宋体" w:eastAsia="宋体" w:cs="宋体"/>
                <w:spacing w:val="3"/>
                <w:sz w:val="21"/>
                <w:szCs w:val="21"/>
              </w:rPr>
              <w:t>5 种：35mm×15mm、15mm×8mm、15mm×15mm、 φ10mm、 φ6mm；</w:t>
            </w:r>
            <w:r>
              <w:rPr>
                <w:rFonts w:hint="eastAsia" w:ascii="宋体" w:hAnsi="宋体" w:eastAsia="宋体" w:cs="宋体"/>
                <w:spacing w:val="3"/>
                <w:sz w:val="21"/>
                <w:szCs w:val="21"/>
                <w:lang w:val="en-US" w:eastAsia="zh-CN"/>
              </w:rPr>
              <w:t>尺寸允差不超过±2mm。</w:t>
            </w:r>
          </w:p>
        </w:tc>
      </w:tr>
      <w:tr w14:paraId="31DFD98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C454E9D">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02ACEFB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69AF9A94">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治疗头制冷温度：2℃～6℃</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lang w:val="en-US" w:eastAsia="zh-CN"/>
              </w:rPr>
              <w:t>具备</w:t>
            </w:r>
            <w:r>
              <w:rPr>
                <w:rFonts w:hint="eastAsia" w:ascii="宋体" w:hAnsi="宋体" w:eastAsia="宋体" w:cs="宋体"/>
                <w:spacing w:val="3"/>
                <w:sz w:val="21"/>
                <w:szCs w:val="21"/>
              </w:rPr>
              <w:t>多种制冷强度可选择</w:t>
            </w:r>
            <w:r>
              <w:rPr>
                <w:rFonts w:hint="eastAsia" w:ascii="宋体" w:hAnsi="宋体" w:eastAsia="宋体" w:cs="宋体"/>
                <w:spacing w:val="3"/>
                <w:sz w:val="21"/>
                <w:szCs w:val="21"/>
                <w:lang w:eastAsia="zh-CN"/>
              </w:rPr>
              <w:t>。</w:t>
            </w:r>
          </w:p>
        </w:tc>
      </w:tr>
      <w:tr w14:paraId="437DBEE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E1F975E">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18FDF76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28B9111C">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能量校准系统：具备自动终端能量检测及校准功能</w:t>
            </w:r>
            <w:r>
              <w:rPr>
                <w:rFonts w:hint="eastAsia" w:ascii="宋体" w:hAnsi="宋体" w:eastAsia="宋体" w:cs="宋体"/>
                <w:spacing w:val="3"/>
                <w:sz w:val="21"/>
                <w:szCs w:val="21"/>
                <w:lang w:eastAsia="zh-CN"/>
              </w:rPr>
              <w:t>。</w:t>
            </w:r>
          </w:p>
        </w:tc>
      </w:tr>
      <w:tr w14:paraId="344791C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C5D4328">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1603B59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67F98EDF">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冷却系统：内循环封闭水冷，外循环风冷；内置双过滤洁净装置；内置水离子浓度过滤装置</w:t>
            </w:r>
            <w:r>
              <w:rPr>
                <w:rFonts w:hint="eastAsia" w:ascii="宋体" w:hAnsi="宋体" w:eastAsia="宋体" w:cs="宋体"/>
                <w:spacing w:val="3"/>
                <w:sz w:val="21"/>
                <w:szCs w:val="21"/>
                <w:lang w:eastAsia="zh-CN"/>
              </w:rPr>
              <w:t>。</w:t>
            </w:r>
          </w:p>
        </w:tc>
      </w:tr>
      <w:tr w14:paraId="1BECB30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EB494DE">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35F7908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62353066">
            <w:pPr>
              <w:widowControl/>
              <w:spacing w:line="240" w:lineRule="auto"/>
              <w:jc w:val="both"/>
              <w:rPr>
                <w:rFonts w:hint="eastAsia" w:ascii="宋体" w:hAnsi="宋体" w:eastAsia="宋体" w:cs="宋体"/>
                <w:spacing w:val="3"/>
                <w:sz w:val="21"/>
                <w:szCs w:val="21"/>
              </w:rPr>
            </w:pPr>
            <w:r>
              <w:rPr>
                <w:rFonts w:hint="eastAsia" w:ascii="宋体" w:hAnsi="宋体" w:eastAsia="宋体" w:cs="宋体"/>
                <w:spacing w:val="3"/>
                <w:sz w:val="21"/>
                <w:szCs w:val="21"/>
              </w:rPr>
              <w:t>控制系统：</w:t>
            </w:r>
          </w:p>
          <w:p w14:paraId="10A2F662">
            <w:pPr>
              <w:widowControl/>
              <w:spacing w:line="240" w:lineRule="auto"/>
              <w:jc w:val="both"/>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1）</w:t>
            </w:r>
            <w:r>
              <w:rPr>
                <w:rFonts w:hint="eastAsia" w:ascii="宋体" w:hAnsi="宋体" w:eastAsia="宋体" w:cs="宋体"/>
                <w:spacing w:val="3"/>
                <w:sz w:val="21"/>
                <w:szCs w:val="21"/>
                <w:lang w:val="en-US" w:eastAsia="zh-CN"/>
              </w:rPr>
              <w:t>配置≥</w:t>
            </w:r>
            <w:r>
              <w:rPr>
                <w:rFonts w:hint="eastAsia" w:ascii="宋体" w:hAnsi="宋体" w:eastAsia="宋体" w:cs="宋体"/>
                <w:spacing w:val="3"/>
                <w:sz w:val="21"/>
                <w:szCs w:val="21"/>
              </w:rPr>
              <w:t>15英寸高清电容触摸屏</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lang w:val="en-US" w:eastAsia="zh-CN"/>
              </w:rPr>
              <w:t xml:space="preserve"> </w:t>
            </w:r>
          </w:p>
          <w:p w14:paraId="48CDB1F1">
            <w:pPr>
              <w:widowControl/>
              <w:spacing w:line="240" w:lineRule="auto"/>
              <w:jc w:val="both"/>
              <w:rPr>
                <w:rFonts w:hint="eastAsia" w:ascii="宋体" w:hAnsi="宋体" w:eastAsia="宋体" w:cs="宋体"/>
                <w:spacing w:val="3"/>
                <w:sz w:val="21"/>
                <w:szCs w:val="21"/>
                <w:lang w:eastAsia="zh-CN"/>
              </w:rPr>
            </w:pPr>
            <w:r>
              <w:rPr>
                <w:rFonts w:hint="eastAsia" w:ascii="宋体" w:hAnsi="宋体" w:eastAsia="宋体" w:cs="宋体"/>
                <w:spacing w:val="3"/>
                <w:sz w:val="21"/>
                <w:szCs w:val="21"/>
              </w:rPr>
              <w:t>2）具有滤光片自动识别、匹配系统</w:t>
            </w:r>
            <w:r>
              <w:rPr>
                <w:rFonts w:hint="eastAsia" w:ascii="宋体" w:hAnsi="宋体" w:eastAsia="宋体" w:cs="宋体"/>
                <w:spacing w:val="3"/>
                <w:sz w:val="21"/>
                <w:szCs w:val="21"/>
                <w:lang w:eastAsia="zh-CN"/>
              </w:rPr>
              <w:t>；</w:t>
            </w:r>
          </w:p>
          <w:p w14:paraId="123A7D0C">
            <w:pPr>
              <w:widowControl/>
              <w:spacing w:line="240" w:lineRule="auto"/>
              <w:jc w:val="both"/>
              <w:rPr>
                <w:rFonts w:hint="eastAsia" w:ascii="宋体" w:hAnsi="宋体" w:eastAsia="宋体" w:cs="宋体"/>
                <w:spacing w:val="3"/>
                <w:sz w:val="21"/>
                <w:szCs w:val="21"/>
                <w:lang w:eastAsia="zh-CN"/>
              </w:rPr>
            </w:pPr>
            <w:r>
              <w:rPr>
                <w:rFonts w:hint="eastAsia" w:ascii="宋体" w:hAnsi="宋体" w:eastAsia="宋体" w:cs="宋体"/>
                <w:spacing w:val="3"/>
                <w:sz w:val="21"/>
                <w:szCs w:val="21"/>
              </w:rPr>
              <w:t>3）具有能量、温度、液位、水流、水量等智能自动检测和控制功能</w:t>
            </w:r>
            <w:r>
              <w:rPr>
                <w:rFonts w:hint="eastAsia" w:ascii="宋体" w:hAnsi="宋体" w:eastAsia="宋体" w:cs="宋体"/>
                <w:spacing w:val="3"/>
                <w:sz w:val="21"/>
                <w:szCs w:val="21"/>
                <w:lang w:eastAsia="zh-CN"/>
              </w:rPr>
              <w:t>；</w:t>
            </w:r>
          </w:p>
          <w:p w14:paraId="0A72F961">
            <w:pPr>
              <w:widowControl/>
              <w:spacing w:line="240" w:lineRule="auto"/>
              <w:jc w:val="both"/>
              <w:rPr>
                <w:rFonts w:hint="eastAsia" w:ascii="宋体" w:hAnsi="宋体" w:eastAsia="宋体" w:cs="宋体"/>
                <w:spacing w:val="3"/>
                <w:sz w:val="21"/>
                <w:szCs w:val="21"/>
                <w:lang w:eastAsia="zh-CN"/>
              </w:rPr>
            </w:pPr>
            <w:r>
              <w:rPr>
                <w:rFonts w:hint="eastAsia" w:ascii="宋体" w:hAnsi="宋体" w:eastAsia="宋体" w:cs="宋体"/>
                <w:spacing w:val="3"/>
                <w:sz w:val="21"/>
                <w:szCs w:val="21"/>
              </w:rPr>
              <w:t>4）具有参数修正功能及升级接口、设备治疗参数存储记忆、故障语言显示、声音提示、密码设置等功能</w:t>
            </w:r>
            <w:r>
              <w:rPr>
                <w:rFonts w:hint="eastAsia" w:ascii="宋体" w:hAnsi="宋体" w:eastAsia="宋体" w:cs="宋体"/>
                <w:spacing w:val="3"/>
                <w:sz w:val="21"/>
                <w:szCs w:val="21"/>
                <w:lang w:eastAsia="zh-CN"/>
              </w:rPr>
              <w:t>；</w:t>
            </w:r>
          </w:p>
          <w:p w14:paraId="345BC187">
            <w:pPr>
              <w:widowControl/>
              <w:spacing w:line="240" w:lineRule="auto"/>
              <w:jc w:val="both"/>
              <w:rPr>
                <w:rFonts w:hint="eastAsia" w:ascii="宋体" w:hAnsi="宋体" w:eastAsia="宋体" w:cs="宋体"/>
                <w:spacing w:val="3"/>
                <w:sz w:val="21"/>
                <w:szCs w:val="21"/>
                <w:lang w:eastAsia="zh-CN"/>
              </w:rPr>
            </w:pPr>
            <w:r>
              <w:rPr>
                <w:rFonts w:hint="eastAsia" w:ascii="宋体" w:hAnsi="宋体" w:eastAsia="宋体" w:cs="宋体"/>
                <w:spacing w:val="3"/>
                <w:sz w:val="21"/>
                <w:szCs w:val="21"/>
              </w:rPr>
              <w:t>5）具有网络功能，可实现远程故障诊断、远程维护、数据加密传输等设备安全保障功能</w:t>
            </w:r>
            <w:r>
              <w:rPr>
                <w:rFonts w:hint="eastAsia" w:ascii="宋体" w:hAnsi="宋体" w:eastAsia="宋体" w:cs="宋体"/>
                <w:spacing w:val="3"/>
                <w:sz w:val="21"/>
                <w:szCs w:val="21"/>
                <w:lang w:eastAsia="zh-CN"/>
              </w:rPr>
              <w:t>；</w:t>
            </w:r>
          </w:p>
          <w:p w14:paraId="10DB8CC5">
            <w:pPr>
              <w:widowControl/>
              <w:spacing w:line="240" w:lineRule="auto"/>
              <w:jc w:val="both"/>
              <w:rPr>
                <w:rFonts w:hint="eastAsia" w:ascii="宋体" w:hAnsi="宋体" w:eastAsia="宋体" w:cs="宋体"/>
                <w:spacing w:val="3"/>
                <w:sz w:val="21"/>
                <w:szCs w:val="21"/>
              </w:rPr>
            </w:pPr>
            <w:r>
              <w:rPr>
                <w:rFonts w:hint="eastAsia" w:ascii="宋体" w:hAnsi="宋体" w:eastAsia="宋体" w:cs="宋体"/>
                <w:spacing w:val="3"/>
                <w:sz w:val="21"/>
                <w:szCs w:val="21"/>
              </w:rPr>
              <w:t>6）具有正品认证功能，使用微信扫码功能扫描屏幕上正品认证二维码可获得产品认证信息。</w:t>
            </w:r>
          </w:p>
        </w:tc>
      </w:tr>
      <w:tr w14:paraId="30831F0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073EA5A">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0BA9DDD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50839356">
            <w:pPr>
              <w:widowControl/>
              <w:spacing w:line="240" w:lineRule="auto"/>
              <w:jc w:val="left"/>
              <w:rPr>
                <w:rFonts w:hint="eastAsia" w:ascii="宋体" w:hAnsi="宋体" w:eastAsia="宋体" w:cs="宋体"/>
                <w:spacing w:val="3"/>
                <w:sz w:val="21"/>
                <w:szCs w:val="21"/>
              </w:rPr>
            </w:pPr>
            <w:r>
              <w:rPr>
                <w:rFonts w:hint="eastAsia" w:ascii="宋体" w:hAnsi="宋体" w:eastAsia="宋体" w:cs="宋体"/>
                <w:spacing w:val="3"/>
                <w:sz w:val="21"/>
                <w:szCs w:val="21"/>
              </w:rPr>
              <w:t>保护装置：配有遮光罩及自动断电保护装置。</w:t>
            </w:r>
          </w:p>
        </w:tc>
      </w:tr>
      <w:tr w14:paraId="69B3AD6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7D48B85">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5D0D8A5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vAlign w:val="center"/>
          </w:tcPr>
          <w:p w14:paraId="5467A467">
            <w:pPr>
              <w:widowControl/>
              <w:spacing w:line="240" w:lineRule="auto"/>
              <w:jc w:val="left"/>
              <w:rPr>
                <w:rFonts w:hint="eastAsia" w:ascii="宋体" w:hAnsi="宋体" w:eastAsia="宋体" w:cs="宋体"/>
                <w:spacing w:val="3"/>
                <w:sz w:val="21"/>
                <w:szCs w:val="21"/>
              </w:rPr>
            </w:pPr>
            <w:r>
              <w:rPr>
                <w:rFonts w:hint="eastAsia" w:ascii="宋体" w:hAnsi="宋体" w:eastAsia="宋体" w:cs="宋体"/>
                <w:spacing w:val="3"/>
                <w:sz w:val="21"/>
                <w:szCs w:val="21"/>
              </w:rPr>
              <w:t>输出控制：手具按钮</w:t>
            </w:r>
            <w:r>
              <w:rPr>
                <w:rFonts w:hint="eastAsia" w:ascii="宋体" w:hAnsi="宋体" w:eastAsia="宋体" w:cs="宋体"/>
                <w:spacing w:val="3"/>
                <w:sz w:val="21"/>
                <w:szCs w:val="21"/>
                <w:lang w:val="en-US" w:eastAsia="zh-CN"/>
              </w:rPr>
              <w:t>可升级增加</w:t>
            </w:r>
            <w:r>
              <w:rPr>
                <w:rFonts w:hint="eastAsia" w:ascii="宋体" w:hAnsi="宋体" w:eastAsia="宋体" w:cs="宋体"/>
                <w:spacing w:val="3"/>
                <w:sz w:val="21"/>
                <w:szCs w:val="21"/>
              </w:rPr>
              <w:t>脚踏开关</w:t>
            </w:r>
            <w:r>
              <w:rPr>
                <w:rFonts w:hint="eastAsia" w:ascii="宋体" w:hAnsi="宋体" w:eastAsia="宋体" w:cs="宋体"/>
                <w:spacing w:val="3"/>
                <w:sz w:val="21"/>
                <w:szCs w:val="21"/>
                <w:lang w:val="en-US" w:eastAsia="zh-CN"/>
              </w:rPr>
              <w:t>控制功能。</w:t>
            </w:r>
          </w:p>
        </w:tc>
      </w:tr>
      <w:tr w14:paraId="54C3020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DB8CE0D">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39E5E74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vAlign w:val="center"/>
          </w:tcPr>
          <w:p w14:paraId="2CEC390E">
            <w:pPr>
              <w:widowControl/>
              <w:spacing w:line="240" w:lineRule="auto"/>
              <w:jc w:val="left"/>
              <w:rPr>
                <w:rFonts w:hint="eastAsia" w:ascii="宋体" w:hAnsi="宋体" w:eastAsia="宋体" w:cs="宋体"/>
                <w:spacing w:val="3"/>
                <w:sz w:val="21"/>
                <w:szCs w:val="21"/>
                <w:lang w:eastAsia="zh-CN"/>
              </w:rPr>
            </w:pPr>
            <w:r>
              <w:rPr>
                <w:rFonts w:hint="eastAsia" w:ascii="宋体" w:hAnsi="宋体" w:eastAsia="宋体" w:cs="宋体"/>
                <w:spacing w:val="3"/>
                <w:sz w:val="21"/>
                <w:szCs w:val="21"/>
              </w:rPr>
              <w:t>工作方式：连续运行设备</w:t>
            </w:r>
            <w:r>
              <w:rPr>
                <w:rFonts w:hint="eastAsia" w:ascii="宋体" w:hAnsi="宋体" w:eastAsia="宋体" w:cs="宋体"/>
                <w:spacing w:val="3"/>
                <w:sz w:val="21"/>
                <w:szCs w:val="21"/>
                <w:lang w:eastAsia="zh-CN"/>
              </w:rPr>
              <w:t>。</w:t>
            </w:r>
          </w:p>
        </w:tc>
      </w:tr>
      <w:tr w14:paraId="132260C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F4D37C5">
            <w:pPr>
              <w:widowControl/>
              <w:spacing w:line="240" w:lineRule="auto"/>
              <w:jc w:val="center"/>
              <w:rPr>
                <w:rFonts w:hint="eastAsia" w:ascii="宋体" w:hAnsi="宋体" w:eastAsia="宋体" w:cs="宋体"/>
                <w:spacing w:val="5"/>
                <w:sz w:val="21"/>
                <w:szCs w:val="21"/>
              </w:rPr>
            </w:pPr>
          </w:p>
        </w:tc>
        <w:tc>
          <w:tcPr>
            <w:tcW w:w="750" w:type="dxa"/>
            <w:tcBorders>
              <w:top w:val="single" w:color="auto" w:sz="4" w:space="0"/>
              <w:left w:val="nil"/>
              <w:bottom w:val="single" w:color="auto" w:sz="4" w:space="0"/>
              <w:right w:val="single" w:color="auto" w:sz="4" w:space="0"/>
            </w:tcBorders>
            <w:vAlign w:val="center"/>
          </w:tcPr>
          <w:p w14:paraId="53C1EB9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vAlign w:val="center"/>
          </w:tcPr>
          <w:p w14:paraId="7197BF9B">
            <w:pPr>
              <w:widowControl/>
              <w:spacing w:line="240" w:lineRule="auto"/>
              <w:jc w:val="left"/>
              <w:rPr>
                <w:rFonts w:hint="eastAsia" w:ascii="宋体" w:hAnsi="宋体" w:eastAsia="宋体" w:cs="宋体"/>
                <w:spacing w:val="3"/>
                <w:sz w:val="21"/>
                <w:szCs w:val="21"/>
              </w:rPr>
            </w:pPr>
            <w:r>
              <w:rPr>
                <w:rFonts w:hint="eastAsia" w:ascii="宋体" w:hAnsi="宋体" w:eastAsia="宋体" w:cs="宋体"/>
                <w:spacing w:val="3"/>
                <w:sz w:val="21"/>
                <w:szCs w:val="21"/>
              </w:rPr>
              <w:t>使用期限：</w:t>
            </w:r>
            <w:r>
              <w:rPr>
                <w:rFonts w:hint="eastAsia" w:ascii="宋体" w:hAnsi="宋体" w:eastAsia="宋体" w:cs="宋体"/>
                <w:spacing w:val="3"/>
                <w:sz w:val="21"/>
                <w:szCs w:val="21"/>
                <w:lang w:val="en-US" w:eastAsia="zh-CN"/>
              </w:rPr>
              <w:t>≥</w:t>
            </w:r>
            <w:r>
              <w:rPr>
                <w:rFonts w:hint="eastAsia" w:ascii="宋体" w:hAnsi="宋体" w:eastAsia="宋体" w:cs="宋体"/>
                <w:spacing w:val="3"/>
                <w:sz w:val="21"/>
                <w:szCs w:val="21"/>
              </w:rPr>
              <w:t>10年</w:t>
            </w:r>
          </w:p>
        </w:tc>
      </w:tr>
      <w:tr w14:paraId="458EB0E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72CA3B4">
            <w:pPr>
              <w:widowControl/>
              <w:spacing w:line="240" w:lineRule="auto"/>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6508D08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vAlign w:val="center"/>
          </w:tcPr>
          <w:p w14:paraId="71A12D1D">
            <w:pPr>
              <w:widowControl/>
              <w:spacing w:line="240" w:lineRule="auto"/>
              <w:jc w:val="left"/>
              <w:rPr>
                <w:rFonts w:hint="eastAsia" w:ascii="宋体" w:hAnsi="宋体" w:eastAsia="宋体" w:cs="宋体"/>
                <w:spacing w:val="3"/>
                <w:sz w:val="21"/>
                <w:szCs w:val="21"/>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3E61A3B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2258D8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FAAC8B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2508D06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5706F8C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F3B081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93A30B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74465B3E">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0CE5380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CF6E29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A25049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shd w:val="clear" w:color="auto" w:fill="auto"/>
            <w:vAlign w:val="center"/>
          </w:tcPr>
          <w:p w14:paraId="4C55A23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29E74E8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08EE50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5B4EE8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shd w:val="clear" w:color="auto" w:fill="auto"/>
            <w:vAlign w:val="center"/>
          </w:tcPr>
          <w:p w14:paraId="39D89B49">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7D7DA7E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DD58A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B18DAAE">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061" w:type="dxa"/>
            <w:tcBorders>
              <w:top w:val="single" w:color="auto" w:sz="4" w:space="0"/>
              <w:left w:val="nil"/>
              <w:bottom w:val="single" w:color="auto" w:sz="4" w:space="0"/>
              <w:right w:val="single" w:color="auto" w:sz="4" w:space="0"/>
            </w:tcBorders>
            <w:shd w:val="clear" w:color="auto" w:fill="auto"/>
            <w:vAlign w:val="center"/>
          </w:tcPr>
          <w:p w14:paraId="688295B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0858B06C">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7C953865">
            <w:pPr>
              <w:widowControl/>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5F35E9E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858757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7D50AD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DB1C5D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024D38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F21AB7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4870EE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7A2DCE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5F70E2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4057CA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B262A6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55</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45</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55</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55</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45</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共15项，完全响应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45</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的3</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014275"/>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97F55E4"/>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7820</Words>
  <Characters>8827</Characters>
  <Lines>0</Lines>
  <Paragraphs>0</Paragraphs>
  <TotalTime>1</TotalTime>
  <ScaleCrop>false</ScaleCrop>
  <LinksUpToDate>false</LinksUpToDate>
  <CharactersWithSpaces>9388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2026-08-14T09:25:34Z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250FCBC53B674A25928180619F0D7A30_13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