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45F129">
      <w:pPr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附件1：</w:t>
      </w:r>
    </w:p>
    <w:p w14:paraId="7249BFA7">
      <w:pPr>
        <w:jc w:val="lef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鄂尔多斯市中心医院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杀毒软件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技术参数和要求（功能和质量）</w:t>
      </w:r>
    </w:p>
    <w:tbl>
      <w:tblPr>
        <w:tblStyle w:val="3"/>
        <w:tblW w:w="956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2"/>
        <w:gridCol w:w="1023"/>
        <w:gridCol w:w="7486"/>
      </w:tblGrid>
      <w:tr w14:paraId="07BC86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7BA1DC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参数性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质</w:t>
            </w:r>
          </w:p>
        </w:tc>
        <w:tc>
          <w:tcPr>
            <w:tcW w:w="10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130FDA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编号</w:t>
            </w:r>
          </w:p>
        </w:tc>
        <w:tc>
          <w:tcPr>
            <w:tcW w:w="74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5CC03D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技术参数和要求</w:t>
            </w:r>
          </w:p>
        </w:tc>
      </w:tr>
      <w:tr w14:paraId="7A5A27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C9B08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449616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74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6E63C5">
            <w:pPr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一、</w:t>
            </w:r>
            <w:r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兼容性与环境支持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（编号2至4）</w:t>
            </w:r>
          </w:p>
        </w:tc>
      </w:tr>
      <w:tr w14:paraId="22CD19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C9D07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★</w:t>
            </w:r>
          </w:p>
        </w:tc>
        <w:tc>
          <w:tcPr>
            <w:tcW w:w="10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3B81A0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74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0F4A42">
            <w:pPr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1.1操作系统兼容性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：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  <w:t>客户端须支持以下操作系统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  <w:t>Windows ：Windows 7 SP1及以上、Windows 10/11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、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  <w:t>Windows Server 2008 R2/2012/2016/2019/2022（含64位）。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  <w:t>Linux：支持CentOS、RedHat、Ubuntu、SUSE等主流发行版。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  <w:t>国产系统：支持银河麒麟、统信UOS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华为欧拉、Anolis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  <w:t>等国产操作系统，适配飞腾、鲲鹏、龙芯等CPU架构。（提供产品说明书）</w:t>
            </w:r>
          </w:p>
        </w:tc>
      </w:tr>
      <w:tr w14:paraId="0A2A24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1" w:hRule="atLeast"/>
          <w:jc w:val="center"/>
        </w:trPr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80B0F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</w:tc>
        <w:tc>
          <w:tcPr>
            <w:tcW w:w="10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C80C24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74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255E6A">
            <w:pPr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1.2</w:t>
            </w:r>
            <w:r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统一管理：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  <w:t>提供B/S架构的集中化管理平台，支持通过单一控制台完成策略下发、终端分组、病毒库升级及日志审计等所有管理操作。</w:t>
            </w:r>
          </w:p>
        </w:tc>
      </w:tr>
      <w:tr w14:paraId="1772B9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1" w:hRule="atLeast"/>
          <w:jc w:val="center"/>
        </w:trPr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47BCA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A27224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74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8E3DDF">
            <w:pP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1.3</w:t>
            </w:r>
            <w:r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低资源占用：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  <w:t>软件安装后，在日常静态监控状态下，内存平均占用须控制在 50MB 以内，不得明显影响终端运行速度及业务软件响应效率。</w:t>
            </w:r>
          </w:p>
        </w:tc>
      </w:tr>
      <w:tr w14:paraId="3F67A2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1" w:hRule="atLeast"/>
          <w:jc w:val="center"/>
        </w:trPr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679EA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3B75B7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74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BEF276">
            <w:pPr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二、管理控制台功能（编号6至12）</w:t>
            </w:r>
          </w:p>
        </w:tc>
      </w:tr>
      <w:tr w14:paraId="38D8BE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1" w:hRule="atLeast"/>
          <w:jc w:val="center"/>
        </w:trPr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CA329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1124D6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74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AB2F98">
            <w:pPr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2.1部署模式：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支持 纯内网（离线）环境、互联网环境及混合网络部署。</w:t>
            </w:r>
          </w:p>
        </w:tc>
      </w:tr>
      <w:tr w14:paraId="308B5E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1" w:hRule="atLeast"/>
          <w:jc w:val="center"/>
        </w:trPr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BED16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★</w:t>
            </w:r>
          </w:p>
        </w:tc>
        <w:tc>
          <w:tcPr>
            <w:tcW w:w="10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6E9162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74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27E03E">
            <w:pPr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2.2部署架构：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客户端采用C/S架构，管理端采用B/S架构，管理端提供B/S架构的集中化管理平台，支持通过单一控制台完成策略下发、终端分组、病毒库升级及日志审计等所有管理操作。（提供产品说明书）</w:t>
            </w:r>
          </w:p>
        </w:tc>
      </w:tr>
      <w:tr w14:paraId="0B1B73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6" w:hRule="atLeast"/>
          <w:jc w:val="center"/>
        </w:trPr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2C9E4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CEA916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74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816DE9">
            <w:pPr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2.3资产管理：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支持全网终端硬件资产（CPU、内存、硬盘、网卡等）和软件资产清点，支持资产变更记录查询和导出。</w:t>
            </w:r>
          </w:p>
        </w:tc>
      </w:tr>
      <w:tr w14:paraId="045C1D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9" w:hRule="atLeast"/>
          <w:jc w:val="center"/>
        </w:trPr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29932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4C3041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74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B10391">
            <w:pPr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2.4分级管理：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支持多级管理权限，可按组织架构分配不同管理员的操作权限（如仅监控或可处置）。</w:t>
            </w:r>
          </w:p>
        </w:tc>
      </w:tr>
      <w:tr w14:paraId="47EC05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  <w:jc w:val="center"/>
        </w:trPr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0BDBF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BC1223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74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DD0BC7">
            <w:pPr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2.5日志外发：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支持将安全告警事件通过Syslog方式外发至第三方平台或态势感知系统。</w:t>
            </w:r>
          </w:p>
        </w:tc>
      </w:tr>
      <w:tr w14:paraId="3CA5C2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  <w:jc w:val="center"/>
        </w:trPr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50827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AAAB1C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74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C25D32">
            <w:pP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2.6支持内外网双模式更新机制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：</w:t>
            </w:r>
          </w:p>
          <w:p w14:paraId="10A629DD">
            <w:pP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在线更新：支持直接从互联网官方更新源获取最新病毒特征码。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离线更新：支持内网环境下的病毒库离线升级。当外网更新包下载完成后，可通过管理控制台上传至内网更新服务器，实现内外网特征库同步更新。</w:t>
            </w:r>
          </w:p>
        </w:tc>
      </w:tr>
      <w:tr w14:paraId="706188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  <w:jc w:val="center"/>
        </w:trPr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DAD14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758487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74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B11E4E">
            <w:pPr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2.7升级容错：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支持终端在断网重连后自动检测并续传未完成的升级文件，避免重复下载。</w:t>
            </w:r>
          </w:p>
        </w:tc>
      </w:tr>
      <w:tr w14:paraId="7FDC76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  <w:jc w:val="center"/>
        </w:trPr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24A8C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32CFD5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74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AADD07">
            <w:pP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三、核心防护能力（编号14至18）</w:t>
            </w:r>
          </w:p>
        </w:tc>
      </w:tr>
      <w:tr w14:paraId="7DFF71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  <w:jc w:val="center"/>
        </w:trPr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DD5E1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★</w:t>
            </w:r>
          </w:p>
        </w:tc>
        <w:tc>
          <w:tcPr>
            <w:tcW w:w="10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11B8CE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74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4C0584">
            <w:pPr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3.1多引擎查杀：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产品应集成本地查杀引擎、云端查杀引擎及启发式分析技术，具备对已知和未知病毒、木马、蠕虫及勒索软件的查杀能力。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支持对宏病毒的查杀，可以对被宏病毒感染的文档进行修复。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核心防病毒引擎须具备自主知识产权，非OEM产品。</w:t>
            </w:r>
          </w:p>
        </w:tc>
      </w:tr>
      <w:tr w14:paraId="176274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1" w:hRule="atLeast"/>
          <w:jc w:val="center"/>
        </w:trPr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5F7AA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40D2C7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74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6CC3B1">
            <w:pPr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3.2勒索病毒专项防护：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支持勒索病毒诱捕功能，可在关键目录生成诱饵文件，主动捕获勒索行为并进行隔离。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支持暴力破解攻击防护（RDP、SMB等协议），可自定义爆破阈值，自动封堵攻击源IP。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支持横向渗透防护，阻断已感染终端对内网其他主机的攻击传播。</w:t>
            </w:r>
          </w:p>
        </w:tc>
      </w:tr>
      <w:tr w14:paraId="1E3EBC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1" w:hRule="atLeast"/>
          <w:jc w:val="center"/>
        </w:trPr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B2164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4605F0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74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8731CD">
            <w:pPr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3.3系统加固：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支持对系统关键文件、注册表、进程等的保护，防止被恶意篡改或利用；支持对Web服务（Apache、Nginx、IIS等）和常用软件（Office、浏览器等）的应用加固。</w:t>
            </w:r>
          </w:p>
        </w:tc>
      </w:tr>
      <w:tr w14:paraId="1306D0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1" w:hRule="atLeast"/>
          <w:jc w:val="center"/>
        </w:trPr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3D773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5D7642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17</w:t>
            </w:r>
          </w:p>
        </w:tc>
        <w:tc>
          <w:tcPr>
            <w:tcW w:w="74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F16505">
            <w:pP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3.4威胁情报联动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：具备与云端威胁情报中心联动能力，可对可疑文件、URL进行信誉查询，并提供详细的威胁分析报告。</w:t>
            </w:r>
          </w:p>
        </w:tc>
      </w:tr>
      <w:tr w14:paraId="7413D6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1" w:hRule="atLeast"/>
          <w:jc w:val="center"/>
        </w:trPr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65247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015D8E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18</w:t>
            </w:r>
          </w:p>
        </w:tc>
        <w:tc>
          <w:tcPr>
            <w:tcW w:w="74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235221">
            <w:pP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3.5高级威胁防护：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具备主动防御能力，挖矿病毒及无文件攻击的行为检测与阻断。</w:t>
            </w:r>
          </w:p>
        </w:tc>
      </w:tr>
      <w:tr w14:paraId="260125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  <w:jc w:val="center"/>
        </w:trPr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439AD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1684FE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19</w:t>
            </w:r>
          </w:p>
        </w:tc>
        <w:tc>
          <w:tcPr>
            <w:tcW w:w="74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C379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四、终端管理与运维（编号20至26）</w:t>
            </w:r>
          </w:p>
        </w:tc>
      </w:tr>
      <w:tr w14:paraId="26D253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1" w:hRule="atLeast"/>
          <w:jc w:val="center"/>
        </w:trPr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97A87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B99D7E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74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8A6633">
            <w:pP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4.1轻量化要求：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客户端日常运行时内存占用不超过50MB，CPU占用不超过10%，不影响终端业务软件运行。</w:t>
            </w:r>
          </w:p>
        </w:tc>
      </w:tr>
      <w:tr w14:paraId="59511E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1" w:hRule="atLeast"/>
          <w:jc w:val="center"/>
        </w:trPr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1229E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2E1546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21</w:t>
            </w:r>
          </w:p>
        </w:tc>
        <w:tc>
          <w:tcPr>
            <w:tcW w:w="74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AF6FF8">
            <w:pP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4.2漏洞修复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：支持扫描和修复Windows系统及常见应用软件（Office、浏览器等）的安全漏洞，支持内网补丁服务器部署和离线补丁分发。</w:t>
            </w:r>
          </w:p>
        </w:tc>
      </w:tr>
      <w:tr w14:paraId="486BB8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1" w:hRule="atLeast"/>
          <w:jc w:val="center"/>
        </w:trPr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75D5D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★</w:t>
            </w:r>
          </w:p>
        </w:tc>
        <w:tc>
          <w:tcPr>
            <w:tcW w:w="10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3E82BA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22</w:t>
            </w:r>
          </w:p>
        </w:tc>
        <w:tc>
          <w:tcPr>
            <w:tcW w:w="74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779AA9">
            <w:pP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4.3外设管控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：支持对USB存储设备（U盘、移动硬盘）设置“只读”、“禁用”或“白名单”权限，防止病毒通过外设入侵。（提供产品说明书）</w:t>
            </w:r>
          </w:p>
        </w:tc>
      </w:tr>
      <w:tr w14:paraId="3B1171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A19D2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A16700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23</w:t>
            </w:r>
          </w:p>
        </w:tc>
        <w:tc>
          <w:tcPr>
            <w:tcW w:w="74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B72BE0">
            <w:pP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4.4违规外联检测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：支持基于IP或域名的违规外联探测，可设置自动断网或弹窗提醒等处置方式。</w:t>
            </w:r>
          </w:p>
        </w:tc>
      </w:tr>
      <w:tr w14:paraId="4C0FA4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1" w:hRule="atLeast"/>
          <w:jc w:val="center"/>
        </w:trPr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FBBC3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237EAF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24</w:t>
            </w:r>
          </w:p>
        </w:tc>
        <w:tc>
          <w:tcPr>
            <w:tcW w:w="74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7FCAEE">
            <w:pP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4.5终端自保护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：具备防卸载、防退出密码保护功能，防止终端用户自行停止防护。可禁止PCHunter、Mimikatz等黑客工具在终端运行。</w:t>
            </w:r>
          </w:p>
        </w:tc>
      </w:tr>
      <w:tr w14:paraId="53FD8C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1" w:hRule="atLeast"/>
          <w:jc w:val="center"/>
        </w:trPr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15B9A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FD9F8F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25</w:t>
            </w:r>
          </w:p>
        </w:tc>
        <w:tc>
          <w:tcPr>
            <w:tcW w:w="74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F002C6">
            <w:pP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4.6错峰升级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：支持客户端错峰升级功能，可自定义升级时段，避免集中升级占用网络带宽影响业务。</w:t>
            </w:r>
          </w:p>
        </w:tc>
      </w:tr>
      <w:tr w14:paraId="39B81F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1" w:hRule="atLeast"/>
          <w:jc w:val="center"/>
        </w:trPr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95FAA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B431A9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26</w:t>
            </w:r>
          </w:p>
        </w:tc>
        <w:tc>
          <w:tcPr>
            <w:tcW w:w="74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D861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4.7微隔离与处置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：支持对疑似中毒终端进行一键网络隔离，仅保留与管理中心通信能力，防止横向扩散，同时允许管理员远程进行文件查杀或手动恢复网络。</w:t>
            </w:r>
          </w:p>
        </w:tc>
      </w:tr>
      <w:tr w14:paraId="6CADC5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  <w:jc w:val="center"/>
        </w:trPr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B85B7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0CC2CA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27</w:t>
            </w:r>
          </w:p>
        </w:tc>
        <w:tc>
          <w:tcPr>
            <w:tcW w:w="74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D29D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五、服务要求（编号28至32）</w:t>
            </w:r>
          </w:p>
        </w:tc>
      </w:tr>
      <w:tr w14:paraId="6D2069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1" w:hRule="atLeast"/>
          <w:jc w:val="center"/>
        </w:trPr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A8AD8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C3B2B8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28</w:t>
            </w:r>
          </w:p>
        </w:tc>
        <w:tc>
          <w:tcPr>
            <w:tcW w:w="74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95DF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5.1应急响应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：提供7×24小时技术支持，重大安全事件30分钟内响应，1小时内提供远程支持，紧急情况下3小时内到达现场。</w:t>
            </w:r>
          </w:p>
        </w:tc>
      </w:tr>
      <w:tr w14:paraId="0B8827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1" w:hRule="atLeast"/>
          <w:jc w:val="center"/>
        </w:trPr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5EC10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DF289D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29</w:t>
            </w:r>
          </w:p>
        </w:tc>
        <w:tc>
          <w:tcPr>
            <w:tcW w:w="74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7976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5.2病毒响应：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具备对新爆发病毒的快速响应机制，承诺在病毒特征库发布后2小时内提供紧急更新，并对用户提交的病毒样本在24小时内完成分析处理。</w:t>
            </w:r>
          </w:p>
        </w:tc>
      </w:tr>
      <w:tr w14:paraId="4E437C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  <w:jc w:val="center"/>
        </w:trPr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E1248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503A60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30</w:t>
            </w:r>
          </w:p>
        </w:tc>
        <w:tc>
          <w:tcPr>
            <w:tcW w:w="74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CBE9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5.3培训服务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：实施完成后，为医院信息科提供不少于2次现场操作培训，并提供完整的产品文档。</w:t>
            </w:r>
          </w:p>
        </w:tc>
      </w:tr>
      <w:tr w14:paraId="61BC4E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1" w:hRule="atLeast"/>
          <w:jc w:val="center"/>
        </w:trPr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86CD5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★</w:t>
            </w:r>
          </w:p>
        </w:tc>
        <w:tc>
          <w:tcPr>
            <w:tcW w:w="10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18F797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31</w:t>
            </w:r>
          </w:p>
        </w:tc>
        <w:tc>
          <w:tcPr>
            <w:tcW w:w="74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EE9F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5.5业务保障核心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：中标方必须负责医院所有终端（含Windows服务器、工作站及Linux服务器）的杀毒软件安装、调试及适配工作。安装实施期间须保障医院HIS、LIS、PACS等核心业务系统正常运行，因安装调试导致业务中断的，需承担相应责任。</w:t>
            </w:r>
          </w:p>
        </w:tc>
      </w:tr>
      <w:tr w14:paraId="0F5C29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1" w:hRule="atLeast"/>
          <w:jc w:val="center"/>
        </w:trPr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5F1E9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★</w:t>
            </w:r>
          </w:p>
        </w:tc>
        <w:tc>
          <w:tcPr>
            <w:tcW w:w="10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E487A5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32</w:t>
            </w:r>
          </w:p>
        </w:tc>
        <w:tc>
          <w:tcPr>
            <w:tcW w:w="74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247D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5.6授权点位数量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：满足东胜院区或康巴什院区在用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杀毒服务器兼容。包含医院两院区服务器端及计算机终端大于等于3000点位的软件授权和病毒库更新。</w:t>
            </w:r>
          </w:p>
        </w:tc>
      </w:tr>
    </w:tbl>
    <w:p w14:paraId="15EA870C"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1103AD5E">
      <w:pPr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F6312B8"/>
    <w:multiLevelType w:val="multilevel"/>
    <w:tmpl w:val="5F6312B8"/>
    <w:lvl w:ilvl="0" w:tentative="0">
      <w:start w:val="1"/>
      <w:numFmt w:val="japaneseCounting"/>
      <w:pStyle w:val="6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81207D"/>
    <w:rsid w:val="00005019"/>
    <w:rsid w:val="000676A1"/>
    <w:rsid w:val="001121AD"/>
    <w:rsid w:val="0023755B"/>
    <w:rsid w:val="002C0196"/>
    <w:rsid w:val="00334824"/>
    <w:rsid w:val="009604B5"/>
    <w:rsid w:val="00C0036D"/>
    <w:rsid w:val="00FB62B1"/>
    <w:rsid w:val="01B57160"/>
    <w:rsid w:val="02702D13"/>
    <w:rsid w:val="0321587C"/>
    <w:rsid w:val="03AB22A0"/>
    <w:rsid w:val="04DD668F"/>
    <w:rsid w:val="0571302A"/>
    <w:rsid w:val="08566507"/>
    <w:rsid w:val="0DB37F58"/>
    <w:rsid w:val="0E252C04"/>
    <w:rsid w:val="1157288A"/>
    <w:rsid w:val="11EE2304"/>
    <w:rsid w:val="166B23B9"/>
    <w:rsid w:val="1681207D"/>
    <w:rsid w:val="16A537AA"/>
    <w:rsid w:val="16ED19E9"/>
    <w:rsid w:val="178D35C8"/>
    <w:rsid w:val="1ACE6A5A"/>
    <w:rsid w:val="1BF278D2"/>
    <w:rsid w:val="20B00B83"/>
    <w:rsid w:val="20EA375E"/>
    <w:rsid w:val="21050673"/>
    <w:rsid w:val="215238B8"/>
    <w:rsid w:val="21921D0D"/>
    <w:rsid w:val="2267716B"/>
    <w:rsid w:val="248C3B67"/>
    <w:rsid w:val="252F3F10"/>
    <w:rsid w:val="27E56161"/>
    <w:rsid w:val="2FD41AF9"/>
    <w:rsid w:val="3003213B"/>
    <w:rsid w:val="3C78072A"/>
    <w:rsid w:val="3D39585C"/>
    <w:rsid w:val="3FC62645"/>
    <w:rsid w:val="45572568"/>
    <w:rsid w:val="46286566"/>
    <w:rsid w:val="48EC55EE"/>
    <w:rsid w:val="496D3E3F"/>
    <w:rsid w:val="4B0D30A6"/>
    <w:rsid w:val="4BFB27A3"/>
    <w:rsid w:val="4C0C0983"/>
    <w:rsid w:val="4FAB04B3"/>
    <w:rsid w:val="58B008E9"/>
    <w:rsid w:val="5CC17F6C"/>
    <w:rsid w:val="5DE73612"/>
    <w:rsid w:val="60803296"/>
    <w:rsid w:val="632C3261"/>
    <w:rsid w:val="63B53F39"/>
    <w:rsid w:val="672034A8"/>
    <w:rsid w:val="67C717AB"/>
    <w:rsid w:val="69EE1271"/>
    <w:rsid w:val="6AFC5C0F"/>
    <w:rsid w:val="6F0A3A4E"/>
    <w:rsid w:val="6FC65B5A"/>
    <w:rsid w:val="70710DB9"/>
    <w:rsid w:val="71201629"/>
    <w:rsid w:val="71B96608"/>
    <w:rsid w:val="728A6284"/>
    <w:rsid w:val="736E2CA8"/>
    <w:rsid w:val="750951B1"/>
    <w:rsid w:val="755221B9"/>
    <w:rsid w:val="762F6E99"/>
    <w:rsid w:val="76AB6D31"/>
    <w:rsid w:val="78DC1251"/>
    <w:rsid w:val="79180D80"/>
    <w:rsid w:val="79B160B4"/>
    <w:rsid w:val="7A000410"/>
    <w:rsid w:val="7BAE6667"/>
    <w:rsid w:val="7C232FFC"/>
    <w:rsid w:val="7D050953"/>
    <w:rsid w:val="7E51743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1"/>
    <w:rPr>
      <w:rFonts w:ascii="微软雅黑" w:hAnsi="微软雅黑" w:eastAsia="微软雅黑" w:cs="微软雅黑"/>
      <w:sz w:val="15"/>
      <w:szCs w:val="15"/>
      <w:lang w:val="zh-CN" w:bidi="zh-CN"/>
    </w:rPr>
  </w:style>
  <w:style w:type="table" w:styleId="4">
    <w:name w:val="Table Grid"/>
    <w:basedOn w:val="3"/>
    <w:qFormat/>
    <w:uiPriority w:val="59"/>
    <w:rPr>
      <w:rFonts w:ascii="Calibri" w:hAnsi="Calibri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6">
    <w:name w:val="List Paragraph"/>
    <w:basedOn w:val="1"/>
    <w:qFormat/>
    <w:uiPriority w:val="34"/>
    <w:pPr>
      <w:numPr>
        <w:ilvl w:val="0"/>
        <w:numId w:val="1"/>
      </w:numPr>
      <w:jc w:val="left"/>
    </w:pPr>
    <w:rPr>
      <w:rFonts w:ascii="Times New Roman" w:hAnsi="Times New Roman" w:eastAsia="宋体" w:cs="Times New Roman"/>
      <w:sz w:val="28"/>
      <w:szCs w:val="21"/>
    </w:rPr>
  </w:style>
  <w:style w:type="character" w:customStyle="1" w:styleId="7">
    <w:name w:val="font2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8">
    <w:name w:val="font11"/>
    <w:basedOn w:val="5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DoubleOX</Company>
  <Pages>4</Pages>
  <Words>1823</Words>
  <Characters>2099</Characters>
  <Lines>6</Lines>
  <Paragraphs>1</Paragraphs>
  <TotalTime>254</TotalTime>
  <ScaleCrop>false</ScaleCrop>
  <LinksUpToDate>false</LinksUpToDate>
  <CharactersWithSpaces>2110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2026-05-18T04:46:00Z</dcterms:created>
  <dc:creator>Administrator</dc:creator>
  <cp:lastModifiedBy>刘少凡</cp:lastModifiedBy>
  <cp:lastPrinted>2026-07-16T07:02:00Z</cp:lastPrinted>
  <dcterms:modified xsi:type="dcterms:W3CDTF">2026-08-17T07:26:00Z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531B852EA185457AB758E9B4F0758410_13</vt:lpwstr>
  </property>
  <property fmtid="{D5CDD505-2E9C-101B-9397-08002B2CF9AE}" pid="4" name="KSOTemplateDocerSaveRecord">
    <vt:lpwstr>eyJoZGlkIjoiOGM0ZDM0YmExN2E1ZDdmMWExMDAzMGNlMGY5ZjFhNjQiLCJ1c2VySWQiOiI0NzI0MzkzMzMifQ==</vt:lpwstr>
  </property>
</Properties>
</file>