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503E002">
      <w:pPr>
        <w:numPr>
          <w:ilvl w:val="0"/>
          <w:numId w:val="0"/>
        </w:numPr>
        <w:jc w:val="center"/>
        <w:rPr>
          <w:rFonts w:hint="eastAsia" w:ascii="宋体" w:hAnsi="宋体" w:eastAsia="宋体" w:cs="宋体"/>
          <w:b/>
          <w:i w:val="0"/>
          <w:caps/>
          <w:color w:val="333333"/>
          <w:spacing w:val="0"/>
          <w:sz w:val="36"/>
          <w:szCs w:val="36"/>
          <w:lang w:val="en-US" w:eastAsia="zh-CN"/>
        </w:rPr>
      </w:pPr>
      <w:bookmarkStart w:id="1" w:name="_GoBack"/>
      <w:r>
        <w:rPr>
          <w:rFonts w:hint="eastAsia" w:ascii="宋体" w:hAnsi="宋体" w:eastAsia="宋体" w:cs="宋体"/>
          <w:b/>
          <w:i w:val="0"/>
          <w:caps/>
          <w:color w:val="333333"/>
          <w:spacing w:val="0"/>
          <w:sz w:val="36"/>
          <w:szCs w:val="36"/>
          <w:lang w:val="en-US" w:eastAsia="zh-CN"/>
        </w:rPr>
        <w:t>超融合服务器扩容项目</w:t>
      </w:r>
      <w:bookmarkEnd w:id="1"/>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2026年8月18日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3E37CC3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C60CD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超融合一体机节点</w:t>
            </w:r>
          </w:p>
        </w:tc>
        <w:tc>
          <w:tcPr>
            <w:tcW w:w="1200" w:type="dxa"/>
            <w:vAlign w:val="center"/>
          </w:tcPr>
          <w:p w14:paraId="569A970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535899A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83" w:type="dxa"/>
            <w:vAlign w:val="center"/>
          </w:tcPr>
          <w:p w14:paraId="70A9229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300000</w:t>
            </w:r>
          </w:p>
        </w:tc>
        <w:tc>
          <w:tcPr>
            <w:tcW w:w="1650" w:type="dxa"/>
            <w:vAlign w:val="center"/>
          </w:tcPr>
          <w:p w14:paraId="1D45D75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600000</w:t>
            </w:r>
          </w:p>
        </w:tc>
      </w:tr>
      <w:tr w14:paraId="01526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FD1F12D">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0FD548FC">
            <w:pPr>
              <w:widowControl/>
              <w:jc w:val="center"/>
              <w:textAlignment w:val="center"/>
              <w:rPr>
                <w:rFonts w:hint="eastAsia"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超融合软件授权</w:t>
            </w:r>
          </w:p>
        </w:tc>
        <w:tc>
          <w:tcPr>
            <w:tcW w:w="1200" w:type="dxa"/>
            <w:vAlign w:val="center"/>
          </w:tcPr>
          <w:p w14:paraId="2D2C9A2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1079" w:type="dxa"/>
            <w:vAlign w:val="center"/>
          </w:tcPr>
          <w:p w14:paraId="398B40D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83" w:type="dxa"/>
            <w:vAlign w:val="center"/>
          </w:tcPr>
          <w:p w14:paraId="7906D4E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75000</w:t>
            </w:r>
          </w:p>
        </w:tc>
        <w:tc>
          <w:tcPr>
            <w:tcW w:w="1650" w:type="dxa"/>
            <w:vAlign w:val="center"/>
          </w:tcPr>
          <w:p w14:paraId="4667D95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150000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BC628AE">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CE8AE6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750000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222844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7217420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合同签订后3个月</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三年（自验收合格之日起算）</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065805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项目到货验收后支付30%，使用半年后支付60%，质保期届满后支付10%</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2FD57B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4B29C0F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bl>
    <w:p w14:paraId="2A8AB61A">
      <w:pPr>
        <w:rPr>
          <w:rFonts w:hint="eastAsia" w:hAnsi="宋体"/>
          <w:sz w:val="24"/>
          <w:szCs w:val="24"/>
          <w:lang w:val="en-US" w:eastAsia="zh-CN"/>
        </w:rPr>
      </w:pPr>
    </w:p>
    <w:p w14:paraId="7B16FD9C">
      <w:pPr>
        <w:rPr>
          <w:rFonts w:hint="eastAsia" w:hAnsi="宋体"/>
          <w:sz w:val="24"/>
          <w:szCs w:val="24"/>
          <w:lang w:val="en-US" w:eastAsia="zh-CN"/>
        </w:rPr>
      </w:pPr>
    </w:p>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1DEEFFD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随着我院数据中心业务的开展，数据中心指标平台和数据采集工具所需的存储和计算资源严重不足，按照数据中心对数据抽取和分析的需求规模，现需要对我院现有深信服超融合服务器存储和计算资源进行扩容。</w:t>
      </w:r>
    </w:p>
    <w:p w14:paraId="511F1780">
      <w:pPr>
        <w:keepNext w:val="0"/>
        <w:keepLines w:val="0"/>
        <w:pageBreakBefore w:val="0"/>
        <w:widowControl/>
        <w:numPr>
          <w:numId w:val="0"/>
        </w:numPr>
        <w:kinsoku/>
        <w:wordWrap/>
        <w:overflowPunct/>
        <w:topLinePunct w:val="0"/>
        <w:autoSpaceDE/>
        <w:autoSpaceDN/>
        <w:bidi w:val="0"/>
        <w:adjustRightInd/>
        <w:snapToGrid/>
        <w:jc w:val="both"/>
        <w:textAlignment w:val="auto"/>
        <w:rPr>
          <w:rFonts w:hint="eastAsia" w:ascii="宋体" w:hAnsi="宋体" w:eastAsia="宋体" w:cs="宋体"/>
          <w:sz w:val="28"/>
          <w:szCs w:val="28"/>
          <w:lang w:val="en-US" w:eastAsia="zh-CN"/>
        </w:rPr>
      </w:pPr>
    </w:p>
    <w:p w14:paraId="3E62D197">
      <w:pPr>
        <w:keepNext/>
        <w:spacing w:before="160" w:after="120"/>
        <w:jc w:val="left"/>
        <w:rPr>
          <w:rFonts w:hint="default" w:eastAsia="方正仿宋_GB2312"/>
          <w:lang w:val="en-US" w:eastAsia="zh-CN"/>
        </w:rPr>
      </w:pPr>
      <w:r>
        <w:rPr>
          <w:rFonts w:hint="eastAsia" w:ascii="Times New Roman" w:hAnsi="Times New Roman" w:eastAsia="方正仿宋_GB2312"/>
          <w:b/>
          <w:sz w:val="24"/>
          <w:lang w:val="en-US" w:eastAsia="zh-CN"/>
        </w:rPr>
        <w:t>技术参数要求</w:t>
      </w:r>
      <w:r>
        <w:rPr>
          <w:rFonts w:ascii="Times New Roman" w:hAnsi="Times New Roman" w:eastAsia="方正仿宋_GB2312"/>
          <w:b/>
          <w:sz w:val="24"/>
        </w:rPr>
        <w:t xml:space="preserve">  超融合一体机</w:t>
      </w:r>
      <w:r>
        <w:rPr>
          <w:rFonts w:hint="eastAsia" w:ascii="Times New Roman" w:hAnsi="Times New Roman" w:eastAsia="方正仿宋_GB2312"/>
          <w:b/>
          <w:sz w:val="24"/>
          <w:lang w:val="en-US" w:eastAsia="zh-CN"/>
        </w:rPr>
        <w:t xml:space="preserve"> 2台</w:t>
      </w:r>
    </w:p>
    <w:tbl>
      <w:tblPr>
        <w:tblStyle w:val="11"/>
        <w:tblW w:w="943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0"/>
        <w:gridCol w:w="920"/>
        <w:gridCol w:w="7599"/>
      </w:tblGrid>
      <w:tr w14:paraId="3909F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920" w:type="dxa"/>
            <w:noWrap w:val="0"/>
            <w:tcMar>
              <w:top w:w="90" w:type="dxa"/>
              <w:left w:w="100" w:type="dxa"/>
              <w:bottom w:w="90" w:type="dxa"/>
              <w:right w:w="100" w:type="dxa"/>
            </w:tcMar>
            <w:vAlign w:val="center"/>
          </w:tcPr>
          <w:p w14:paraId="47E20239">
            <w:pPr>
              <w:spacing w:before="0" w:after="0" w:line="276" w:lineRule="auto"/>
              <w:jc w:val="center"/>
              <w:rPr>
                <w:rFonts w:hint="default" w:ascii="Times New Roman" w:hAnsi="Times New Roman" w:eastAsia="方正仿宋_GB2312"/>
                <w:b/>
                <w:sz w:val="24"/>
                <w:lang w:val="en-US" w:eastAsia="zh-CN"/>
              </w:rPr>
            </w:pPr>
            <w:r>
              <w:rPr>
                <w:rFonts w:hint="eastAsia" w:ascii="Times New Roman" w:hAnsi="Times New Roman" w:eastAsia="方正仿宋_GB2312"/>
                <w:b/>
                <w:sz w:val="24"/>
                <w:lang w:val="en-US" w:eastAsia="zh-CN"/>
              </w:rPr>
              <w:t>参数性质</w:t>
            </w:r>
          </w:p>
        </w:tc>
        <w:tc>
          <w:tcPr>
            <w:tcW w:w="920" w:type="dxa"/>
            <w:noWrap w:val="0"/>
            <w:tcMar>
              <w:top w:w="90" w:type="dxa"/>
              <w:left w:w="100" w:type="dxa"/>
              <w:bottom w:w="90" w:type="dxa"/>
              <w:right w:w="100" w:type="dxa"/>
            </w:tcMar>
            <w:vAlign w:val="center"/>
          </w:tcPr>
          <w:p w14:paraId="22FA6D37">
            <w:pPr>
              <w:spacing w:before="0" w:after="0" w:line="276" w:lineRule="auto"/>
              <w:jc w:val="center"/>
            </w:pPr>
            <w:r>
              <w:rPr>
                <w:rFonts w:hint="eastAsia" w:ascii="Times New Roman" w:hAnsi="Times New Roman" w:eastAsia="方正仿宋_GB2312"/>
                <w:b/>
                <w:sz w:val="24"/>
                <w:lang w:val="en-US" w:eastAsia="zh-CN"/>
              </w:rPr>
              <w:t>编</w:t>
            </w:r>
            <w:r>
              <w:rPr>
                <w:rFonts w:ascii="Times New Roman" w:hAnsi="Times New Roman" w:eastAsia="方正仿宋_GB2312"/>
                <w:b/>
                <w:sz w:val="24"/>
              </w:rPr>
              <w:t>号</w:t>
            </w:r>
          </w:p>
        </w:tc>
        <w:tc>
          <w:tcPr>
            <w:tcW w:w="7599" w:type="dxa"/>
            <w:noWrap w:val="0"/>
            <w:tcMar>
              <w:top w:w="90" w:type="dxa"/>
              <w:left w:w="100" w:type="dxa"/>
              <w:bottom w:w="90" w:type="dxa"/>
              <w:right w:w="100" w:type="dxa"/>
            </w:tcMar>
            <w:vAlign w:val="center"/>
          </w:tcPr>
          <w:p w14:paraId="4D76F5B0">
            <w:pPr>
              <w:spacing w:before="0" w:after="0" w:line="276" w:lineRule="auto"/>
              <w:jc w:val="center"/>
            </w:pPr>
            <w:r>
              <w:rPr>
                <w:rFonts w:ascii="Times New Roman" w:hAnsi="Times New Roman" w:eastAsia="方正仿宋_GB2312"/>
                <w:b/>
                <w:sz w:val="24"/>
              </w:rPr>
              <w:t>技术参数描述</w:t>
            </w:r>
          </w:p>
        </w:tc>
      </w:tr>
      <w:tr w14:paraId="487E8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70BE8800">
            <w:pPr>
              <w:spacing w:before="0" w:after="0" w:line="276" w:lineRule="auto"/>
              <w:jc w:val="center"/>
              <w:rPr>
                <w:rFonts w:ascii="Times New Roman" w:hAnsi="Times New Roman" w:eastAsia="方正仿宋_GB2312"/>
                <w:b w:val="0"/>
                <w:sz w:val="24"/>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093246CD">
            <w:pPr>
              <w:spacing w:before="0" w:after="0" w:line="276" w:lineRule="auto"/>
              <w:jc w:val="center"/>
            </w:pPr>
            <w:r>
              <w:rPr>
                <w:rFonts w:ascii="Times New Roman" w:hAnsi="Times New Roman" w:eastAsia="方正仿宋_GB2312"/>
                <w:b w:val="0"/>
                <w:sz w:val="24"/>
              </w:rPr>
              <w:t>1</w:t>
            </w:r>
          </w:p>
        </w:tc>
        <w:tc>
          <w:tcPr>
            <w:tcW w:w="7599" w:type="dxa"/>
            <w:noWrap w:val="0"/>
            <w:tcMar>
              <w:top w:w="90" w:type="dxa"/>
              <w:left w:w="100" w:type="dxa"/>
              <w:bottom w:w="90" w:type="dxa"/>
              <w:right w:w="100" w:type="dxa"/>
            </w:tcMar>
            <w:vAlign w:val="center"/>
          </w:tcPr>
          <w:p w14:paraId="5FA63716">
            <w:pPr>
              <w:spacing w:before="0" w:after="0" w:line="276" w:lineRule="auto"/>
              <w:jc w:val="left"/>
            </w:pPr>
            <w:r>
              <w:rPr>
                <w:rFonts w:ascii="Times New Roman" w:hAnsi="Times New Roman" w:eastAsia="方正仿宋_GB2312"/>
                <w:b w:val="0"/>
                <w:sz w:val="24"/>
              </w:rPr>
              <w:t>产品形态：超融合一体机，规格</w:t>
            </w:r>
            <w:r>
              <w:rPr>
                <w:rFonts w:hint="eastAsia" w:ascii="Times New Roman" w:hAnsi="Times New Roman" w:eastAsia="方正仿宋_GB2312"/>
                <w:b w:val="0"/>
                <w:sz w:val="24"/>
                <w:lang w:eastAsia="zh-CN"/>
              </w:rPr>
              <w:t>：</w:t>
            </w:r>
            <w:r>
              <w:rPr>
                <w:rFonts w:ascii="Times New Roman" w:hAnsi="Times New Roman" w:eastAsia="方正仿宋_GB2312"/>
                <w:b w:val="0"/>
                <w:sz w:val="24"/>
              </w:rPr>
              <w:t>2U。</w:t>
            </w:r>
          </w:p>
        </w:tc>
      </w:tr>
      <w:tr w14:paraId="426E6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2B756E43">
            <w:pPr>
              <w:spacing w:before="0" w:after="0" w:line="276" w:lineRule="auto"/>
              <w:jc w:val="center"/>
              <w:rPr>
                <w:rFonts w:ascii="Times New Roman" w:hAnsi="Times New Roman" w:eastAsia="方正仿宋_GB2312"/>
                <w:b w:val="0"/>
                <w:sz w:val="24"/>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295DA1A4">
            <w:pPr>
              <w:spacing w:before="0" w:after="0" w:line="276" w:lineRule="auto"/>
              <w:jc w:val="center"/>
            </w:pPr>
            <w:r>
              <w:rPr>
                <w:rFonts w:ascii="Times New Roman" w:hAnsi="Times New Roman" w:eastAsia="方正仿宋_GB2312"/>
                <w:b w:val="0"/>
                <w:sz w:val="24"/>
              </w:rPr>
              <w:t>2</w:t>
            </w:r>
          </w:p>
        </w:tc>
        <w:tc>
          <w:tcPr>
            <w:tcW w:w="7599" w:type="dxa"/>
            <w:noWrap w:val="0"/>
            <w:tcMar>
              <w:top w:w="90" w:type="dxa"/>
              <w:left w:w="100" w:type="dxa"/>
              <w:bottom w:w="90" w:type="dxa"/>
              <w:right w:w="100" w:type="dxa"/>
            </w:tcMar>
            <w:vAlign w:val="center"/>
          </w:tcPr>
          <w:p w14:paraId="5746B45B">
            <w:pPr>
              <w:spacing w:before="0" w:after="0" w:line="276" w:lineRule="auto"/>
              <w:jc w:val="left"/>
            </w:pPr>
            <w:r>
              <w:rPr>
                <w:rFonts w:ascii="Times New Roman" w:hAnsi="Times New Roman" w:eastAsia="方正仿宋_GB2312"/>
                <w:b w:val="0"/>
                <w:sz w:val="24"/>
              </w:rPr>
              <w:t>处理器：单台设备配置处理器≥2颗，单颗处理器核数≥32核，单颗处理器主频≥2.1GHz。</w:t>
            </w:r>
          </w:p>
        </w:tc>
      </w:tr>
      <w:tr w14:paraId="7816D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12CA8ACA">
            <w:pPr>
              <w:spacing w:before="0" w:after="0" w:line="276" w:lineRule="auto"/>
              <w:jc w:val="center"/>
              <w:rPr>
                <w:rFonts w:ascii="Times New Roman" w:hAnsi="Times New Roman" w:eastAsia="方正仿宋_GB2312"/>
                <w:b w:val="0"/>
                <w:sz w:val="24"/>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5DA20534">
            <w:pPr>
              <w:spacing w:before="0" w:after="0" w:line="276" w:lineRule="auto"/>
              <w:jc w:val="center"/>
            </w:pPr>
            <w:r>
              <w:rPr>
                <w:rFonts w:ascii="Times New Roman" w:hAnsi="Times New Roman" w:eastAsia="方正仿宋_GB2312"/>
                <w:b w:val="0"/>
                <w:sz w:val="24"/>
              </w:rPr>
              <w:t>3</w:t>
            </w:r>
          </w:p>
        </w:tc>
        <w:tc>
          <w:tcPr>
            <w:tcW w:w="7599" w:type="dxa"/>
            <w:noWrap w:val="0"/>
            <w:tcMar>
              <w:top w:w="90" w:type="dxa"/>
              <w:left w:w="100" w:type="dxa"/>
              <w:bottom w:w="90" w:type="dxa"/>
              <w:right w:w="100" w:type="dxa"/>
            </w:tcMar>
            <w:vAlign w:val="center"/>
          </w:tcPr>
          <w:p w14:paraId="0A1DE7AC">
            <w:pPr>
              <w:spacing w:before="0" w:after="0" w:line="276" w:lineRule="auto"/>
              <w:jc w:val="left"/>
            </w:pPr>
            <w:r>
              <w:rPr>
                <w:rFonts w:ascii="Times New Roman" w:hAnsi="Times New Roman" w:eastAsia="方正仿宋_GB2312"/>
                <w:b w:val="0"/>
                <w:sz w:val="24"/>
              </w:rPr>
              <w:t>内存：单台设备配置内存≥16×32GB DDR5 5600。</w:t>
            </w:r>
          </w:p>
        </w:tc>
      </w:tr>
      <w:tr w14:paraId="3CAC4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037F06F4">
            <w:pPr>
              <w:spacing w:before="0" w:after="0" w:line="276" w:lineRule="auto"/>
              <w:jc w:val="center"/>
              <w:rPr>
                <w:rFonts w:ascii="Times New Roman" w:hAnsi="Times New Roman" w:eastAsia="方正仿宋_GB2312"/>
                <w:b w:val="0"/>
                <w:sz w:val="24"/>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7713660B">
            <w:pPr>
              <w:spacing w:before="0" w:after="0" w:line="276" w:lineRule="auto"/>
              <w:jc w:val="center"/>
            </w:pPr>
            <w:r>
              <w:rPr>
                <w:rFonts w:ascii="Times New Roman" w:hAnsi="Times New Roman" w:eastAsia="方正仿宋_GB2312"/>
                <w:b w:val="0"/>
                <w:sz w:val="24"/>
              </w:rPr>
              <w:t>4</w:t>
            </w:r>
          </w:p>
        </w:tc>
        <w:tc>
          <w:tcPr>
            <w:tcW w:w="7599" w:type="dxa"/>
            <w:noWrap w:val="0"/>
            <w:tcMar>
              <w:top w:w="90" w:type="dxa"/>
              <w:left w:w="100" w:type="dxa"/>
              <w:bottom w:w="90" w:type="dxa"/>
              <w:right w:w="100" w:type="dxa"/>
            </w:tcMar>
            <w:vAlign w:val="center"/>
          </w:tcPr>
          <w:p w14:paraId="4714C180">
            <w:pPr>
              <w:spacing w:before="0" w:after="0" w:line="276" w:lineRule="auto"/>
              <w:jc w:val="left"/>
            </w:pPr>
            <w:r>
              <w:rPr>
                <w:rFonts w:ascii="Times New Roman" w:hAnsi="Times New Roman" w:eastAsia="方正仿宋_GB2312"/>
                <w:b w:val="0"/>
                <w:sz w:val="24"/>
              </w:rPr>
              <w:t>存储配置：单台系统盘≥2×480GB SSD，单台缓存盘≥2×3.84TB SATA SSD，单台数据盘≥10×8TB HDD，标配盘位数≥12。</w:t>
            </w:r>
          </w:p>
        </w:tc>
      </w:tr>
      <w:tr w14:paraId="2D1CB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612ECCFA">
            <w:pPr>
              <w:spacing w:before="0" w:after="0" w:line="276" w:lineRule="auto"/>
              <w:jc w:val="center"/>
              <w:rPr>
                <w:rFonts w:ascii="Times New Roman" w:hAnsi="Times New Roman" w:eastAsia="方正仿宋_GB2312"/>
                <w:b w:val="0"/>
                <w:sz w:val="24"/>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63C1317D">
            <w:pPr>
              <w:spacing w:before="0" w:after="0" w:line="276" w:lineRule="auto"/>
              <w:jc w:val="center"/>
            </w:pPr>
            <w:r>
              <w:rPr>
                <w:rFonts w:ascii="Times New Roman" w:hAnsi="Times New Roman" w:eastAsia="方正仿宋_GB2312"/>
                <w:b w:val="0"/>
                <w:sz w:val="24"/>
              </w:rPr>
              <w:t>5</w:t>
            </w:r>
          </w:p>
        </w:tc>
        <w:tc>
          <w:tcPr>
            <w:tcW w:w="7599" w:type="dxa"/>
            <w:noWrap w:val="0"/>
            <w:tcMar>
              <w:top w:w="90" w:type="dxa"/>
              <w:left w:w="100" w:type="dxa"/>
              <w:bottom w:w="90" w:type="dxa"/>
              <w:right w:w="100" w:type="dxa"/>
            </w:tcMar>
            <w:vAlign w:val="center"/>
          </w:tcPr>
          <w:p w14:paraId="65A7B5DB">
            <w:pPr>
              <w:spacing w:before="0" w:after="0" w:line="276" w:lineRule="auto"/>
              <w:jc w:val="left"/>
            </w:pPr>
            <w:r>
              <w:rPr>
                <w:rFonts w:ascii="Times New Roman" w:hAnsi="Times New Roman" w:eastAsia="方正仿宋_GB2312"/>
                <w:b w:val="0"/>
                <w:sz w:val="24"/>
              </w:rPr>
              <w:t>网络接口：单台设备配置千兆电口≥4个、万兆光口≥2个。</w:t>
            </w:r>
          </w:p>
        </w:tc>
      </w:tr>
      <w:tr w14:paraId="4DF58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1708231F">
            <w:pPr>
              <w:spacing w:before="0" w:after="0" w:line="276" w:lineRule="auto"/>
              <w:jc w:val="center"/>
              <w:rPr>
                <w:rFonts w:ascii="Times New Roman" w:hAnsi="Times New Roman" w:eastAsia="方正仿宋_GB2312"/>
                <w:b w:val="0"/>
                <w:sz w:val="24"/>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362EFA1B">
            <w:pPr>
              <w:spacing w:before="0" w:after="0" w:line="276" w:lineRule="auto"/>
              <w:jc w:val="center"/>
            </w:pPr>
            <w:r>
              <w:rPr>
                <w:rFonts w:ascii="Times New Roman" w:hAnsi="Times New Roman" w:eastAsia="方正仿宋_GB2312"/>
                <w:b w:val="0"/>
                <w:sz w:val="24"/>
              </w:rPr>
              <w:t>6</w:t>
            </w:r>
          </w:p>
        </w:tc>
        <w:tc>
          <w:tcPr>
            <w:tcW w:w="7599" w:type="dxa"/>
            <w:noWrap w:val="0"/>
            <w:tcMar>
              <w:top w:w="90" w:type="dxa"/>
              <w:left w:w="100" w:type="dxa"/>
              <w:bottom w:w="90" w:type="dxa"/>
              <w:right w:w="100" w:type="dxa"/>
            </w:tcMar>
            <w:vAlign w:val="center"/>
          </w:tcPr>
          <w:p w14:paraId="183F3DFC">
            <w:pPr>
              <w:spacing w:before="0" w:after="0" w:line="276" w:lineRule="auto"/>
              <w:jc w:val="left"/>
            </w:pPr>
            <w:r>
              <w:rPr>
                <w:rFonts w:ascii="Times New Roman" w:hAnsi="Times New Roman" w:eastAsia="方正仿宋_GB2312"/>
                <w:b w:val="0"/>
                <w:sz w:val="24"/>
              </w:rPr>
              <w:t>电源及配件：</w:t>
            </w:r>
            <w:r>
              <w:rPr>
                <w:rFonts w:hint="eastAsia" w:ascii="Times New Roman" w:hAnsi="Times New Roman" w:eastAsia="方正仿宋_GB2312"/>
                <w:b w:val="0"/>
                <w:sz w:val="24"/>
                <w:lang w:val="en-US" w:eastAsia="zh-CN"/>
              </w:rPr>
              <w:t>单台</w:t>
            </w:r>
            <w:r>
              <w:rPr>
                <w:rFonts w:ascii="Times New Roman" w:hAnsi="Times New Roman" w:eastAsia="方正仿宋_GB2312"/>
                <w:b w:val="0"/>
                <w:sz w:val="24"/>
              </w:rPr>
              <w:t>配置白金冗余电源；</w:t>
            </w:r>
            <w:r>
              <w:rPr>
                <w:rFonts w:hint="eastAsia" w:ascii="Times New Roman" w:hAnsi="Times New Roman" w:eastAsia="方正仿宋_GB2312"/>
                <w:b w:val="0"/>
                <w:sz w:val="24"/>
                <w:lang w:val="en-US" w:eastAsia="zh-CN"/>
              </w:rPr>
              <w:t>单台</w:t>
            </w:r>
            <w:r>
              <w:rPr>
                <w:rFonts w:ascii="Times New Roman" w:hAnsi="Times New Roman" w:eastAsia="方正仿宋_GB2312"/>
                <w:b w:val="0"/>
                <w:sz w:val="24"/>
              </w:rPr>
              <w:t>配套万兆多模光模块（850nm、300m、双纤）≥4个，配套多模LC-LC光纤线（5m）≥2根。</w:t>
            </w:r>
          </w:p>
        </w:tc>
      </w:tr>
      <w:tr w14:paraId="7653B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750F10CF">
            <w:pPr>
              <w:spacing w:before="0" w:after="0" w:line="276" w:lineRule="auto"/>
              <w:jc w:val="center"/>
              <w:rPr>
                <w:rFonts w:ascii="Times New Roman" w:hAnsi="Times New Roman" w:eastAsia="方正仿宋_GB2312"/>
                <w:b w:val="0"/>
                <w:sz w:val="24"/>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3834ECDF">
            <w:pPr>
              <w:spacing w:before="0" w:after="0" w:line="276" w:lineRule="auto"/>
              <w:jc w:val="center"/>
            </w:pPr>
            <w:r>
              <w:rPr>
                <w:rFonts w:ascii="Times New Roman" w:hAnsi="Times New Roman" w:eastAsia="方正仿宋_GB2312"/>
                <w:b w:val="0"/>
                <w:sz w:val="24"/>
              </w:rPr>
              <w:t>7</w:t>
            </w:r>
          </w:p>
        </w:tc>
        <w:tc>
          <w:tcPr>
            <w:tcW w:w="7599" w:type="dxa"/>
            <w:noWrap w:val="0"/>
            <w:tcMar>
              <w:top w:w="90" w:type="dxa"/>
              <w:left w:w="100" w:type="dxa"/>
              <w:bottom w:w="90" w:type="dxa"/>
              <w:right w:w="100" w:type="dxa"/>
            </w:tcMar>
            <w:vAlign w:val="center"/>
          </w:tcPr>
          <w:p w14:paraId="57D362E6">
            <w:pPr>
              <w:spacing w:before="0" w:after="0" w:line="276" w:lineRule="auto"/>
              <w:jc w:val="left"/>
            </w:pPr>
            <w:r>
              <w:rPr>
                <w:rFonts w:ascii="Times New Roman" w:hAnsi="Times New Roman" w:eastAsia="方正仿宋_GB2312"/>
                <w:b w:val="0"/>
                <w:sz w:val="24"/>
              </w:rPr>
              <w:t>硬件服务：整机维保服务≥3年。</w:t>
            </w:r>
          </w:p>
        </w:tc>
      </w:tr>
      <w:tr w14:paraId="2817F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439" w:type="dxa"/>
            <w:gridSpan w:val="3"/>
            <w:noWrap w:val="0"/>
            <w:tcMar>
              <w:top w:w="90" w:type="dxa"/>
              <w:left w:w="100" w:type="dxa"/>
              <w:bottom w:w="90" w:type="dxa"/>
              <w:right w:w="100" w:type="dxa"/>
            </w:tcMar>
            <w:vAlign w:val="center"/>
          </w:tcPr>
          <w:p w14:paraId="38BE17DD">
            <w:pPr>
              <w:spacing w:before="0" w:after="0" w:line="276" w:lineRule="auto"/>
              <w:jc w:val="left"/>
              <w:rPr>
                <w:rFonts w:hint="default" w:ascii="Times New Roman" w:hAnsi="Times New Roman" w:eastAsia="方正仿宋_GB2312"/>
                <w:b w:val="0"/>
                <w:sz w:val="24"/>
                <w:lang w:val="en-US" w:eastAsia="zh-CN"/>
              </w:rPr>
            </w:pPr>
            <w:r>
              <w:rPr>
                <w:rFonts w:hint="eastAsia" w:ascii="Times New Roman" w:hAnsi="Times New Roman" w:eastAsia="方正仿宋_GB2312"/>
                <w:b w:val="0"/>
                <w:sz w:val="24"/>
                <w:lang w:val="en-US" w:eastAsia="zh-CN"/>
              </w:rPr>
              <w:t>注：所有技术参数中标“</w:t>
            </w:r>
            <w:r>
              <w:rPr>
                <w:rFonts w:ascii="Times New Roman" w:hAnsi="Times New Roman" w:eastAsia="方正仿宋_GB2312"/>
                <w:b w:val="0"/>
                <w:sz w:val="24"/>
              </w:rPr>
              <w:t>★</w:t>
            </w:r>
            <w:r>
              <w:rPr>
                <w:rFonts w:hint="eastAsia" w:ascii="Times New Roman" w:hAnsi="Times New Roman" w:eastAsia="方正仿宋_GB2312"/>
                <w:b w:val="0"/>
                <w:sz w:val="24"/>
                <w:lang w:val="en-US" w:eastAsia="zh-CN"/>
              </w:rPr>
              <w:t>”项为主要技术参数，任意1条不满足则导致响应无效。</w:t>
            </w:r>
          </w:p>
        </w:tc>
      </w:tr>
    </w:tbl>
    <w:p w14:paraId="736CC9B2">
      <w:pPr>
        <w:keepNext/>
        <w:keepLines w:val="0"/>
        <w:pageBreakBefore w:val="0"/>
        <w:widowControl/>
        <w:kinsoku/>
        <w:wordWrap/>
        <w:overflowPunct/>
        <w:topLinePunct w:val="0"/>
        <w:autoSpaceDE/>
        <w:autoSpaceDN/>
        <w:bidi w:val="0"/>
        <w:adjustRightInd/>
        <w:snapToGrid/>
        <w:jc w:val="left"/>
        <w:textAlignment w:val="auto"/>
        <w:rPr>
          <w:rFonts w:ascii="Times New Roman" w:hAnsi="Times New Roman" w:eastAsia="方正仿宋_GB2312"/>
          <w:b/>
          <w:sz w:val="24"/>
        </w:rPr>
      </w:pPr>
    </w:p>
    <w:p w14:paraId="05366CE0">
      <w:pPr>
        <w:keepNext/>
        <w:spacing w:before="160" w:after="120"/>
        <w:jc w:val="left"/>
        <w:rPr>
          <w:rFonts w:ascii="Times New Roman" w:hAnsi="Times New Roman" w:eastAsia="方正仿宋_GB2312"/>
          <w:b/>
          <w:sz w:val="24"/>
        </w:rPr>
      </w:pPr>
    </w:p>
    <w:p w14:paraId="5704DFFA">
      <w:pPr>
        <w:keepNext/>
        <w:spacing w:before="160" w:after="120"/>
        <w:jc w:val="left"/>
      </w:pPr>
      <w:r>
        <w:rPr>
          <w:rFonts w:ascii="Times New Roman" w:hAnsi="Times New Roman" w:eastAsia="方正仿宋_GB2312"/>
          <w:b/>
          <w:sz w:val="24"/>
        </w:rPr>
        <w:t>第二部分  超融合虚拟化软件</w:t>
      </w:r>
    </w:p>
    <w:tbl>
      <w:tblPr>
        <w:tblStyle w:val="11"/>
        <w:tblW w:w="943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0"/>
        <w:gridCol w:w="920"/>
        <w:gridCol w:w="7599"/>
      </w:tblGrid>
      <w:tr w14:paraId="5FC86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920" w:type="dxa"/>
            <w:noWrap w:val="0"/>
            <w:tcMar>
              <w:top w:w="90" w:type="dxa"/>
              <w:left w:w="100" w:type="dxa"/>
              <w:bottom w:w="90" w:type="dxa"/>
              <w:right w:w="100" w:type="dxa"/>
            </w:tcMar>
            <w:vAlign w:val="center"/>
          </w:tcPr>
          <w:p w14:paraId="5A5482CB">
            <w:pPr>
              <w:spacing w:before="0" w:after="0" w:line="276" w:lineRule="auto"/>
              <w:jc w:val="center"/>
              <w:rPr>
                <w:rFonts w:hint="eastAsia" w:ascii="Times New Roman" w:hAnsi="Times New Roman" w:eastAsia="方正仿宋_GB2312"/>
                <w:b/>
                <w:sz w:val="24"/>
                <w:lang w:val="en-US" w:eastAsia="zh-CN"/>
              </w:rPr>
            </w:pPr>
            <w:r>
              <w:rPr>
                <w:rFonts w:hint="eastAsia" w:ascii="Times New Roman" w:hAnsi="Times New Roman" w:eastAsia="方正仿宋_GB2312"/>
                <w:b/>
                <w:sz w:val="24"/>
                <w:lang w:val="en-US" w:eastAsia="zh-CN"/>
              </w:rPr>
              <w:t>参数性质</w:t>
            </w:r>
          </w:p>
        </w:tc>
        <w:tc>
          <w:tcPr>
            <w:tcW w:w="920" w:type="dxa"/>
            <w:noWrap w:val="0"/>
            <w:tcMar>
              <w:top w:w="90" w:type="dxa"/>
              <w:left w:w="100" w:type="dxa"/>
              <w:bottom w:w="90" w:type="dxa"/>
              <w:right w:w="100" w:type="dxa"/>
            </w:tcMar>
            <w:vAlign w:val="center"/>
          </w:tcPr>
          <w:p w14:paraId="49D289C6">
            <w:pPr>
              <w:spacing w:before="0" w:after="0" w:line="276" w:lineRule="auto"/>
              <w:jc w:val="center"/>
            </w:pPr>
            <w:r>
              <w:rPr>
                <w:rFonts w:hint="eastAsia" w:ascii="Times New Roman" w:hAnsi="Times New Roman" w:eastAsia="方正仿宋_GB2312"/>
                <w:b/>
                <w:sz w:val="24"/>
                <w:lang w:val="en-US" w:eastAsia="zh-CN"/>
              </w:rPr>
              <w:t>编</w:t>
            </w:r>
            <w:r>
              <w:rPr>
                <w:rFonts w:ascii="Times New Roman" w:hAnsi="Times New Roman" w:eastAsia="方正仿宋_GB2312"/>
                <w:b/>
                <w:sz w:val="24"/>
              </w:rPr>
              <w:t>号</w:t>
            </w:r>
          </w:p>
        </w:tc>
        <w:tc>
          <w:tcPr>
            <w:tcW w:w="7599" w:type="dxa"/>
            <w:noWrap w:val="0"/>
            <w:tcMar>
              <w:top w:w="90" w:type="dxa"/>
              <w:left w:w="100" w:type="dxa"/>
              <w:bottom w:w="90" w:type="dxa"/>
              <w:right w:w="100" w:type="dxa"/>
            </w:tcMar>
            <w:vAlign w:val="center"/>
          </w:tcPr>
          <w:p w14:paraId="2265809D">
            <w:pPr>
              <w:spacing w:before="0" w:after="0" w:line="276" w:lineRule="auto"/>
              <w:jc w:val="center"/>
            </w:pPr>
            <w:r>
              <w:rPr>
                <w:rFonts w:ascii="Times New Roman" w:hAnsi="Times New Roman" w:eastAsia="方正仿宋_GB2312"/>
                <w:b/>
                <w:sz w:val="24"/>
              </w:rPr>
              <w:t>技术参数描述</w:t>
            </w:r>
          </w:p>
        </w:tc>
      </w:tr>
      <w:tr w14:paraId="1836D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462A80B0">
            <w:pPr>
              <w:spacing w:before="0" w:after="0" w:line="276" w:lineRule="auto"/>
              <w:jc w:val="center"/>
              <w:rPr>
                <w:rFonts w:ascii="Times New Roman" w:hAnsi="Times New Roman" w:eastAsia="方正仿宋_GB2312"/>
                <w:b w:val="0"/>
                <w:sz w:val="24"/>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3B58EFBC">
            <w:pPr>
              <w:spacing w:before="0" w:after="0" w:line="276" w:lineRule="auto"/>
              <w:jc w:val="center"/>
            </w:pPr>
            <w:r>
              <w:rPr>
                <w:rFonts w:ascii="Times New Roman" w:hAnsi="Times New Roman" w:eastAsia="方正仿宋_GB2312"/>
                <w:b w:val="0"/>
                <w:sz w:val="24"/>
              </w:rPr>
              <w:t>1</w:t>
            </w:r>
          </w:p>
        </w:tc>
        <w:tc>
          <w:tcPr>
            <w:tcW w:w="7599" w:type="dxa"/>
            <w:noWrap w:val="0"/>
            <w:tcMar>
              <w:top w:w="90" w:type="dxa"/>
              <w:left w:w="100" w:type="dxa"/>
              <w:bottom w:w="90" w:type="dxa"/>
              <w:right w:w="100" w:type="dxa"/>
            </w:tcMar>
            <w:vAlign w:val="center"/>
          </w:tcPr>
          <w:p w14:paraId="7A03B365">
            <w:pPr>
              <w:spacing w:before="0" w:after="0" w:line="276" w:lineRule="auto"/>
              <w:jc w:val="left"/>
            </w:pPr>
            <w:r>
              <w:rPr>
                <w:rFonts w:ascii="Times New Roman" w:hAnsi="Times New Roman" w:eastAsia="方正仿宋_GB2312"/>
                <w:b w:val="0"/>
                <w:sz w:val="24"/>
              </w:rPr>
              <w:t>软件授权：虚拟存储软件≥</w:t>
            </w:r>
            <w:r>
              <w:rPr>
                <w:rFonts w:hint="eastAsia" w:ascii="Times New Roman" w:hAnsi="Times New Roman" w:eastAsia="方正仿宋_GB2312"/>
                <w:b w:val="0"/>
                <w:sz w:val="24"/>
                <w:lang w:val="en-US" w:eastAsia="zh-CN"/>
              </w:rPr>
              <w:t>4</w:t>
            </w:r>
            <w:r>
              <w:rPr>
                <w:rFonts w:ascii="Times New Roman" w:hAnsi="Times New Roman" w:eastAsia="方正仿宋_GB2312"/>
                <w:b w:val="0"/>
                <w:sz w:val="24"/>
              </w:rPr>
              <w:t>套、计算服务器虚拟化软件≥</w:t>
            </w:r>
            <w:r>
              <w:rPr>
                <w:rFonts w:hint="eastAsia" w:ascii="Times New Roman" w:hAnsi="Times New Roman" w:eastAsia="方正仿宋_GB2312"/>
                <w:b w:val="0"/>
                <w:sz w:val="24"/>
                <w:lang w:val="en-US" w:eastAsia="zh-CN"/>
              </w:rPr>
              <w:t>4</w:t>
            </w:r>
            <w:r>
              <w:rPr>
                <w:rFonts w:ascii="Times New Roman" w:hAnsi="Times New Roman" w:eastAsia="方正仿宋_GB2312"/>
                <w:b w:val="0"/>
                <w:sz w:val="24"/>
              </w:rPr>
              <w:t>套、安全虚拟化软件≥</w:t>
            </w:r>
            <w:r>
              <w:rPr>
                <w:rFonts w:hint="eastAsia" w:ascii="Times New Roman" w:hAnsi="Times New Roman" w:eastAsia="方正仿宋_GB2312"/>
                <w:b w:val="0"/>
                <w:sz w:val="24"/>
                <w:lang w:val="en-US" w:eastAsia="zh-CN"/>
              </w:rPr>
              <w:t>4</w:t>
            </w:r>
            <w:r>
              <w:rPr>
                <w:rFonts w:ascii="Times New Roman" w:hAnsi="Times New Roman" w:eastAsia="方正仿宋_GB2312"/>
                <w:b w:val="0"/>
                <w:sz w:val="24"/>
              </w:rPr>
              <w:t>套、网络虚拟化软件≥</w:t>
            </w:r>
            <w:r>
              <w:rPr>
                <w:rFonts w:hint="eastAsia" w:ascii="Times New Roman" w:hAnsi="Times New Roman" w:eastAsia="方正仿宋_GB2312"/>
                <w:b w:val="0"/>
                <w:sz w:val="24"/>
                <w:lang w:val="en-US" w:eastAsia="zh-CN"/>
              </w:rPr>
              <w:t>4</w:t>
            </w:r>
            <w:r>
              <w:rPr>
                <w:rFonts w:ascii="Times New Roman" w:hAnsi="Times New Roman" w:eastAsia="方正仿宋_GB2312"/>
                <w:b w:val="0"/>
                <w:sz w:val="24"/>
              </w:rPr>
              <w:t>套、云计算管理软件≥</w:t>
            </w:r>
            <w:r>
              <w:rPr>
                <w:rFonts w:hint="eastAsia" w:ascii="Times New Roman" w:hAnsi="Times New Roman" w:eastAsia="方正仿宋_GB2312"/>
                <w:b w:val="0"/>
                <w:sz w:val="24"/>
                <w:lang w:val="en-US" w:eastAsia="zh-CN"/>
              </w:rPr>
              <w:t>4</w:t>
            </w:r>
            <w:r>
              <w:rPr>
                <w:rFonts w:ascii="Times New Roman" w:hAnsi="Times New Roman" w:eastAsia="方正仿宋_GB2312"/>
                <w:b w:val="0"/>
                <w:sz w:val="24"/>
              </w:rPr>
              <w:t>套。</w:t>
            </w:r>
          </w:p>
        </w:tc>
      </w:tr>
      <w:tr w14:paraId="2591E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7A9DA998">
            <w:pPr>
              <w:spacing w:before="0" w:after="0" w:line="276" w:lineRule="auto"/>
              <w:jc w:val="center"/>
              <w:rPr>
                <w:rFonts w:ascii="Times New Roman" w:hAnsi="Times New Roman" w:eastAsia="方正仿宋_GB2312"/>
                <w:b w:val="0"/>
                <w:sz w:val="24"/>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34B0337B">
            <w:pPr>
              <w:spacing w:before="0" w:after="0" w:line="276" w:lineRule="auto"/>
              <w:jc w:val="center"/>
            </w:pPr>
            <w:r>
              <w:rPr>
                <w:rFonts w:ascii="Times New Roman" w:hAnsi="Times New Roman" w:eastAsia="方正仿宋_GB2312"/>
                <w:b w:val="0"/>
                <w:sz w:val="24"/>
              </w:rPr>
              <w:t>2</w:t>
            </w:r>
          </w:p>
        </w:tc>
        <w:tc>
          <w:tcPr>
            <w:tcW w:w="7599" w:type="dxa"/>
            <w:noWrap w:val="0"/>
            <w:tcMar>
              <w:top w:w="90" w:type="dxa"/>
              <w:left w:w="100" w:type="dxa"/>
              <w:bottom w:w="90" w:type="dxa"/>
              <w:right w:w="100" w:type="dxa"/>
            </w:tcMar>
            <w:vAlign w:val="center"/>
          </w:tcPr>
          <w:p w14:paraId="6B64B2C2">
            <w:pPr>
              <w:spacing w:before="0" w:after="0" w:line="276" w:lineRule="auto"/>
              <w:jc w:val="left"/>
              <w:rPr>
                <w:rFonts w:hint="default" w:eastAsia="方正仿宋_GB2312"/>
                <w:lang w:val="en-US" w:eastAsia="zh-CN"/>
              </w:rPr>
            </w:pPr>
            <w:r>
              <w:rPr>
                <w:rFonts w:hint="eastAsia" w:ascii="Times New Roman" w:hAnsi="Times New Roman" w:eastAsia="方正仿宋_GB2312"/>
                <w:b w:val="0"/>
                <w:color w:val="FF0000"/>
                <w:sz w:val="24"/>
                <w:lang w:val="en-US" w:eastAsia="zh-CN"/>
              </w:rPr>
              <w:t>本次采购项目为原超融合集群扩容需求</w:t>
            </w:r>
            <w:r>
              <w:rPr>
                <w:rFonts w:hint="eastAsia" w:ascii="Times New Roman" w:hAnsi="Times New Roman" w:eastAsia="方正仿宋_GB2312"/>
                <w:b w:val="0"/>
                <w:sz w:val="24"/>
                <w:lang w:val="en-US" w:eastAsia="zh-CN"/>
              </w:rPr>
              <w:t>，因此投标人提供的超融合平台必须与采购单位现有超融合集群同架构、实现集群统一纳管、统一运维、资源池合并、存储互通等需求。</w:t>
            </w:r>
            <w:r>
              <w:rPr>
                <w:rFonts w:hint="eastAsia" w:ascii="Times New Roman" w:hAnsi="Times New Roman" w:eastAsia="方正仿宋_GB2312"/>
                <w:b w:val="0"/>
                <w:sz w:val="24"/>
                <w:lang w:eastAsia="zh-CN"/>
              </w:rPr>
              <w:t>（</w:t>
            </w:r>
            <w:r>
              <w:rPr>
                <w:rFonts w:hint="eastAsia" w:ascii="Times New Roman" w:hAnsi="Times New Roman" w:eastAsia="方正仿宋_GB2312"/>
                <w:b w:val="0"/>
                <w:sz w:val="24"/>
                <w:lang w:val="en-US" w:eastAsia="zh-CN"/>
              </w:rPr>
              <w:t>投标人需提供承诺函）</w:t>
            </w:r>
          </w:p>
        </w:tc>
      </w:tr>
      <w:tr w14:paraId="0459D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147437F8">
            <w:pPr>
              <w:spacing w:before="0" w:after="0" w:line="276" w:lineRule="auto"/>
              <w:jc w:val="center"/>
              <w:rPr>
                <w:rFonts w:ascii="Times New Roman" w:hAnsi="Times New Roman" w:eastAsia="方正仿宋_GB2312"/>
                <w:b w:val="0"/>
                <w:sz w:val="24"/>
              </w:rPr>
            </w:pPr>
          </w:p>
        </w:tc>
        <w:tc>
          <w:tcPr>
            <w:tcW w:w="920" w:type="dxa"/>
            <w:noWrap w:val="0"/>
            <w:tcMar>
              <w:top w:w="90" w:type="dxa"/>
              <w:left w:w="100" w:type="dxa"/>
              <w:bottom w:w="90" w:type="dxa"/>
              <w:right w:w="100" w:type="dxa"/>
            </w:tcMar>
            <w:vAlign w:val="center"/>
          </w:tcPr>
          <w:p w14:paraId="54A86C20">
            <w:pPr>
              <w:spacing w:before="0" w:after="0" w:line="276" w:lineRule="auto"/>
              <w:jc w:val="center"/>
            </w:pPr>
            <w:r>
              <w:rPr>
                <w:rFonts w:ascii="Times New Roman" w:hAnsi="Times New Roman" w:eastAsia="方正仿宋_GB2312"/>
                <w:b w:val="0"/>
                <w:sz w:val="24"/>
              </w:rPr>
              <w:t>3</w:t>
            </w:r>
          </w:p>
        </w:tc>
        <w:tc>
          <w:tcPr>
            <w:tcW w:w="7599" w:type="dxa"/>
            <w:noWrap w:val="0"/>
            <w:tcMar>
              <w:top w:w="90" w:type="dxa"/>
              <w:left w:w="100" w:type="dxa"/>
              <w:bottom w:w="90" w:type="dxa"/>
              <w:right w:w="100" w:type="dxa"/>
            </w:tcMar>
            <w:vAlign w:val="center"/>
          </w:tcPr>
          <w:p w14:paraId="66446D42">
            <w:pPr>
              <w:spacing w:before="0" w:after="0" w:line="276" w:lineRule="auto"/>
              <w:jc w:val="left"/>
            </w:pPr>
            <w:r>
              <w:rPr>
                <w:rFonts w:ascii="Times New Roman" w:hAnsi="Times New Roman" w:eastAsia="方正仿宋_GB2312"/>
                <w:b w:val="0"/>
                <w:sz w:val="24"/>
              </w:rPr>
              <w:t>支持查看镜像页面，包括公共镜像、私有镜像和网络设备镜像；支持对上述镜像进行统一上传和管理；可通过镜像一键快速创建云主机，并可通过网络拓扑使用网络设备镜像部署虚拟化安全组件。</w:t>
            </w:r>
          </w:p>
        </w:tc>
      </w:tr>
      <w:tr w14:paraId="07CDD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6129C05A">
            <w:pPr>
              <w:spacing w:before="0" w:after="0" w:line="276" w:lineRule="auto"/>
              <w:jc w:val="center"/>
              <w:rPr>
                <w:rFonts w:ascii="Times New Roman" w:hAnsi="Times New Roman" w:eastAsia="方正仿宋_GB2312"/>
                <w:b w:val="0"/>
                <w:sz w:val="24"/>
              </w:rPr>
            </w:pPr>
          </w:p>
        </w:tc>
        <w:tc>
          <w:tcPr>
            <w:tcW w:w="920" w:type="dxa"/>
            <w:noWrap w:val="0"/>
            <w:tcMar>
              <w:top w:w="90" w:type="dxa"/>
              <w:left w:w="100" w:type="dxa"/>
              <w:bottom w:w="90" w:type="dxa"/>
              <w:right w:w="100" w:type="dxa"/>
            </w:tcMar>
            <w:vAlign w:val="center"/>
          </w:tcPr>
          <w:p w14:paraId="1940F8C3">
            <w:pPr>
              <w:spacing w:before="0" w:after="0" w:line="276" w:lineRule="auto"/>
              <w:jc w:val="center"/>
            </w:pPr>
            <w:r>
              <w:rPr>
                <w:rFonts w:ascii="Times New Roman" w:hAnsi="Times New Roman" w:eastAsia="方正仿宋_GB2312"/>
                <w:b w:val="0"/>
                <w:sz w:val="24"/>
              </w:rPr>
              <w:t>4</w:t>
            </w:r>
          </w:p>
        </w:tc>
        <w:tc>
          <w:tcPr>
            <w:tcW w:w="7599" w:type="dxa"/>
            <w:noWrap w:val="0"/>
            <w:tcMar>
              <w:top w:w="90" w:type="dxa"/>
              <w:left w:w="100" w:type="dxa"/>
              <w:bottom w:w="90" w:type="dxa"/>
              <w:right w:w="100" w:type="dxa"/>
            </w:tcMar>
            <w:vAlign w:val="center"/>
          </w:tcPr>
          <w:p w14:paraId="00634905">
            <w:pPr>
              <w:spacing w:before="0" w:after="0" w:line="276" w:lineRule="auto"/>
              <w:jc w:val="left"/>
            </w:pPr>
            <w:r>
              <w:rPr>
                <w:rFonts w:ascii="Times New Roman" w:hAnsi="Times New Roman" w:eastAsia="方正仿宋_GB2312"/>
                <w:b w:val="0"/>
                <w:sz w:val="24"/>
              </w:rPr>
              <w:t>为满足大规模管理运维要求，超融合管理平台应提供虚拟机删除、开关机、挂起、重启、关闭、关闭电源、克隆、迁移、备份、快照、标签管理等功能，且上述功能均支持批量操作。为保证虚拟机管理稳定性，所投产品须具有依据《信息技术 云计算 虚拟机管理通用要求》（GB/T 35293—2017）标准出具的测评报告。</w:t>
            </w:r>
          </w:p>
        </w:tc>
      </w:tr>
      <w:tr w14:paraId="1EF75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4D72B2DA">
            <w:pPr>
              <w:spacing w:before="0" w:after="0" w:line="276" w:lineRule="auto"/>
              <w:jc w:val="center"/>
              <w:rPr>
                <w:rFonts w:ascii="Times New Roman" w:hAnsi="Times New Roman" w:eastAsia="方正仿宋_GB2312"/>
                <w:b w:val="0"/>
                <w:sz w:val="24"/>
              </w:rPr>
            </w:pPr>
          </w:p>
        </w:tc>
        <w:tc>
          <w:tcPr>
            <w:tcW w:w="920" w:type="dxa"/>
            <w:noWrap w:val="0"/>
            <w:tcMar>
              <w:top w:w="90" w:type="dxa"/>
              <w:left w:w="100" w:type="dxa"/>
              <w:bottom w:w="90" w:type="dxa"/>
              <w:right w:w="100" w:type="dxa"/>
            </w:tcMar>
            <w:vAlign w:val="center"/>
          </w:tcPr>
          <w:p w14:paraId="6492AE9D">
            <w:pPr>
              <w:spacing w:before="0" w:after="0" w:line="276" w:lineRule="auto"/>
              <w:jc w:val="center"/>
            </w:pPr>
            <w:r>
              <w:rPr>
                <w:rFonts w:ascii="Times New Roman" w:hAnsi="Times New Roman" w:eastAsia="方正仿宋_GB2312"/>
                <w:b w:val="0"/>
                <w:sz w:val="24"/>
              </w:rPr>
              <w:t>5</w:t>
            </w:r>
          </w:p>
        </w:tc>
        <w:tc>
          <w:tcPr>
            <w:tcW w:w="7599" w:type="dxa"/>
            <w:noWrap w:val="0"/>
            <w:tcMar>
              <w:top w:w="90" w:type="dxa"/>
              <w:left w:w="100" w:type="dxa"/>
              <w:bottom w:w="90" w:type="dxa"/>
              <w:right w:w="100" w:type="dxa"/>
            </w:tcMar>
            <w:vAlign w:val="center"/>
          </w:tcPr>
          <w:p w14:paraId="221B614A">
            <w:pPr>
              <w:spacing w:before="0" w:after="0" w:line="276" w:lineRule="auto"/>
              <w:jc w:val="left"/>
            </w:pPr>
            <w:r>
              <w:rPr>
                <w:rFonts w:ascii="Times New Roman" w:hAnsi="Times New Roman" w:eastAsia="方正仿宋_GB2312"/>
                <w:b w:val="0"/>
                <w:sz w:val="24"/>
              </w:rPr>
              <w:t>平台支持集群环境一键健康检测，并可选择检测对象，包括：系统运行状态检测（系统服务、配置文件、系统分区、存储空间）、系统配置检测（网口配置）和硬件健康检测（CPU、内存、网卡、硬盘基本功能）。</w:t>
            </w:r>
          </w:p>
        </w:tc>
      </w:tr>
      <w:tr w14:paraId="33A3C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2EE8428F">
            <w:pPr>
              <w:spacing w:before="0" w:after="0" w:line="276" w:lineRule="auto"/>
              <w:jc w:val="center"/>
              <w:rPr>
                <w:rFonts w:ascii="Times New Roman" w:hAnsi="Times New Roman" w:eastAsia="方正仿宋_GB2312"/>
                <w:b w:val="0"/>
                <w:sz w:val="24"/>
              </w:rPr>
            </w:pPr>
          </w:p>
        </w:tc>
        <w:tc>
          <w:tcPr>
            <w:tcW w:w="920" w:type="dxa"/>
            <w:noWrap w:val="0"/>
            <w:tcMar>
              <w:top w:w="90" w:type="dxa"/>
              <w:left w:w="100" w:type="dxa"/>
              <w:bottom w:w="90" w:type="dxa"/>
              <w:right w:w="100" w:type="dxa"/>
            </w:tcMar>
            <w:vAlign w:val="center"/>
          </w:tcPr>
          <w:p w14:paraId="766F9718">
            <w:pPr>
              <w:spacing w:before="0" w:after="0" w:line="276" w:lineRule="auto"/>
              <w:jc w:val="center"/>
            </w:pPr>
            <w:r>
              <w:rPr>
                <w:rFonts w:ascii="Times New Roman" w:hAnsi="Times New Roman" w:eastAsia="方正仿宋_GB2312"/>
                <w:b w:val="0"/>
                <w:sz w:val="24"/>
              </w:rPr>
              <w:t>6</w:t>
            </w:r>
          </w:p>
        </w:tc>
        <w:tc>
          <w:tcPr>
            <w:tcW w:w="7599" w:type="dxa"/>
            <w:noWrap w:val="0"/>
            <w:tcMar>
              <w:top w:w="90" w:type="dxa"/>
              <w:left w:w="100" w:type="dxa"/>
              <w:bottom w:w="90" w:type="dxa"/>
              <w:right w:w="100" w:type="dxa"/>
            </w:tcMar>
            <w:vAlign w:val="center"/>
          </w:tcPr>
          <w:p w14:paraId="5D0EBC90">
            <w:pPr>
              <w:spacing w:before="0" w:after="0" w:line="276" w:lineRule="auto"/>
              <w:jc w:val="left"/>
            </w:pPr>
            <w:r>
              <w:rPr>
                <w:rFonts w:ascii="Times New Roman" w:hAnsi="Times New Roman" w:eastAsia="方正仿宋_GB2312"/>
                <w:b w:val="0"/>
                <w:sz w:val="24"/>
              </w:rPr>
              <w:t>支持硬盘寿命预测功能；磁盘寿命页面可查看硬盘名称、剩余寿命、预计剩余可用时长和寿命风险等信息。</w:t>
            </w:r>
          </w:p>
        </w:tc>
      </w:tr>
      <w:tr w14:paraId="7EDC6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2A99F1E9">
            <w:pPr>
              <w:spacing w:before="0" w:after="0" w:line="276" w:lineRule="auto"/>
              <w:jc w:val="center"/>
              <w:rPr>
                <w:rFonts w:ascii="Times New Roman" w:hAnsi="Times New Roman" w:eastAsia="方正仿宋_GB2312"/>
                <w:b w:val="0"/>
                <w:sz w:val="24"/>
              </w:rPr>
            </w:pPr>
          </w:p>
        </w:tc>
        <w:tc>
          <w:tcPr>
            <w:tcW w:w="920" w:type="dxa"/>
            <w:noWrap w:val="0"/>
            <w:tcMar>
              <w:top w:w="90" w:type="dxa"/>
              <w:left w:w="100" w:type="dxa"/>
              <w:bottom w:w="90" w:type="dxa"/>
              <w:right w:w="100" w:type="dxa"/>
            </w:tcMar>
            <w:vAlign w:val="center"/>
          </w:tcPr>
          <w:p w14:paraId="72632103">
            <w:pPr>
              <w:spacing w:before="0" w:after="0" w:line="276" w:lineRule="auto"/>
              <w:jc w:val="center"/>
            </w:pPr>
            <w:r>
              <w:rPr>
                <w:rFonts w:ascii="Times New Roman" w:hAnsi="Times New Roman" w:eastAsia="方正仿宋_GB2312"/>
                <w:b w:val="0"/>
                <w:sz w:val="24"/>
              </w:rPr>
              <w:t>7</w:t>
            </w:r>
          </w:p>
        </w:tc>
        <w:tc>
          <w:tcPr>
            <w:tcW w:w="7599" w:type="dxa"/>
            <w:noWrap w:val="0"/>
            <w:tcMar>
              <w:top w:w="90" w:type="dxa"/>
              <w:left w:w="100" w:type="dxa"/>
              <w:bottom w:w="90" w:type="dxa"/>
              <w:right w:w="100" w:type="dxa"/>
            </w:tcMar>
            <w:vAlign w:val="center"/>
          </w:tcPr>
          <w:p w14:paraId="408CDA7A">
            <w:pPr>
              <w:spacing w:before="0" w:after="0" w:line="276" w:lineRule="auto"/>
              <w:jc w:val="left"/>
            </w:pPr>
            <w:r>
              <w:rPr>
                <w:rFonts w:ascii="Times New Roman" w:hAnsi="Times New Roman" w:eastAsia="方正仿宋_GB2312"/>
                <w:b w:val="0"/>
                <w:sz w:val="24"/>
              </w:rPr>
              <w:t>为避免虚拟机误删，平台应支持通过还原按钮恢复回收站中的指定对象，可设置回收站文件保留天数，并可查看名称、描述、存储、删除时间和保留时间等信息。</w:t>
            </w:r>
          </w:p>
        </w:tc>
      </w:tr>
      <w:tr w14:paraId="7C63E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20123B9F">
            <w:pPr>
              <w:spacing w:before="0" w:after="0" w:line="276" w:lineRule="auto"/>
              <w:jc w:val="center"/>
              <w:rPr>
                <w:rFonts w:ascii="Times New Roman" w:hAnsi="Times New Roman" w:eastAsia="方正仿宋_GB2312"/>
                <w:b w:val="0"/>
                <w:sz w:val="24"/>
              </w:rPr>
            </w:pPr>
          </w:p>
        </w:tc>
        <w:tc>
          <w:tcPr>
            <w:tcW w:w="920" w:type="dxa"/>
            <w:noWrap w:val="0"/>
            <w:tcMar>
              <w:top w:w="90" w:type="dxa"/>
              <w:left w:w="100" w:type="dxa"/>
              <w:bottom w:w="90" w:type="dxa"/>
              <w:right w:w="100" w:type="dxa"/>
            </w:tcMar>
            <w:vAlign w:val="center"/>
          </w:tcPr>
          <w:p w14:paraId="64740774">
            <w:pPr>
              <w:spacing w:before="0" w:after="0" w:line="276" w:lineRule="auto"/>
              <w:jc w:val="center"/>
            </w:pPr>
            <w:r>
              <w:rPr>
                <w:rFonts w:ascii="Times New Roman" w:hAnsi="Times New Roman" w:eastAsia="方正仿宋_GB2312"/>
                <w:b w:val="0"/>
                <w:sz w:val="24"/>
              </w:rPr>
              <w:t>8</w:t>
            </w:r>
          </w:p>
        </w:tc>
        <w:tc>
          <w:tcPr>
            <w:tcW w:w="7599" w:type="dxa"/>
            <w:noWrap w:val="0"/>
            <w:tcMar>
              <w:top w:w="90" w:type="dxa"/>
              <w:left w:w="100" w:type="dxa"/>
              <w:bottom w:w="90" w:type="dxa"/>
              <w:right w:w="100" w:type="dxa"/>
            </w:tcMar>
            <w:vAlign w:val="center"/>
          </w:tcPr>
          <w:p w14:paraId="6910CAE4">
            <w:pPr>
              <w:spacing w:before="0" w:after="0" w:line="276" w:lineRule="auto"/>
              <w:jc w:val="left"/>
            </w:pPr>
            <w:r>
              <w:rPr>
                <w:rFonts w:ascii="Times New Roman" w:hAnsi="Times New Roman" w:eastAsia="方正仿宋_GB2312"/>
                <w:b w:val="0"/>
                <w:sz w:val="24"/>
              </w:rPr>
              <w:t>整体平台和业务支持通过仪表盘进行监控配置和呈现，全面展示业务及平台运行状况，帮助运维人员开展日常可视化观测并及时判断、处置问题。</w:t>
            </w:r>
          </w:p>
        </w:tc>
      </w:tr>
      <w:tr w14:paraId="4B2A2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22886F97">
            <w:pPr>
              <w:spacing w:before="0" w:after="0" w:line="276" w:lineRule="auto"/>
              <w:jc w:val="center"/>
              <w:rPr>
                <w:rFonts w:hint="eastAsia" w:ascii="Times New Roman" w:hAnsi="Times New Roman" w:eastAsia="方正仿宋_GB2312"/>
                <w:b w:val="0"/>
                <w:sz w:val="24"/>
                <w:lang w:val="en-US" w:eastAsia="zh-CN"/>
              </w:rPr>
            </w:pPr>
          </w:p>
        </w:tc>
        <w:tc>
          <w:tcPr>
            <w:tcW w:w="920" w:type="dxa"/>
            <w:noWrap w:val="0"/>
            <w:tcMar>
              <w:top w:w="90" w:type="dxa"/>
              <w:left w:w="100" w:type="dxa"/>
              <w:bottom w:w="90" w:type="dxa"/>
              <w:right w:w="100" w:type="dxa"/>
            </w:tcMar>
            <w:vAlign w:val="center"/>
          </w:tcPr>
          <w:p w14:paraId="40EDDB4D">
            <w:pPr>
              <w:spacing w:before="0" w:after="0" w:line="276" w:lineRule="auto"/>
              <w:jc w:val="center"/>
              <w:rPr>
                <w:rFonts w:hint="eastAsia" w:ascii="Times New Roman" w:hAnsi="Times New Roman" w:eastAsia="方正仿宋_GB2312"/>
                <w:b w:val="0"/>
                <w:sz w:val="24"/>
                <w:lang w:val="en-US" w:eastAsia="zh-CN"/>
              </w:rPr>
            </w:pPr>
            <w:r>
              <w:rPr>
                <w:rFonts w:hint="eastAsia" w:ascii="Times New Roman" w:hAnsi="Times New Roman" w:eastAsia="方正仿宋_GB2312"/>
                <w:b w:val="0"/>
                <w:sz w:val="24"/>
                <w:lang w:val="en-US" w:eastAsia="zh-CN"/>
              </w:rPr>
              <w:t>9</w:t>
            </w:r>
          </w:p>
        </w:tc>
        <w:tc>
          <w:tcPr>
            <w:tcW w:w="7599" w:type="dxa"/>
            <w:noWrap w:val="0"/>
            <w:tcMar>
              <w:top w:w="90" w:type="dxa"/>
              <w:left w:w="100" w:type="dxa"/>
              <w:bottom w:w="90" w:type="dxa"/>
              <w:right w:w="100" w:type="dxa"/>
            </w:tcMar>
            <w:vAlign w:val="center"/>
          </w:tcPr>
          <w:p w14:paraId="04982413">
            <w:pPr>
              <w:spacing w:before="0" w:after="0" w:line="276" w:lineRule="auto"/>
              <w:jc w:val="left"/>
              <w:rPr>
                <w:rFonts w:hint="eastAsia" w:ascii="Times New Roman" w:hAnsi="Times New Roman" w:eastAsia="方正仿宋_GB2312"/>
                <w:b w:val="0"/>
                <w:sz w:val="24"/>
                <w:lang w:eastAsia="zh-CN"/>
              </w:rPr>
            </w:pPr>
            <w:r>
              <w:rPr>
                <w:rFonts w:ascii="Times New Roman" w:hAnsi="Times New Roman" w:eastAsia="方正仿宋_GB2312"/>
                <w:b w:val="0"/>
                <w:color w:val="auto"/>
                <w:sz w:val="24"/>
              </w:rPr>
              <w:t>超融合平台需定期升级保障平台稳定性，核心业务不能长时间停机，超融合平台需支持在线升级不影响业务；为保证升级时间与步骤可控，升级过程中支持对升级节点进行升级顺序编排、升级暂停</w:t>
            </w:r>
            <w:r>
              <w:rPr>
                <w:rFonts w:hint="eastAsia" w:ascii="Times New Roman" w:hAnsi="Times New Roman" w:eastAsia="方正仿宋_GB2312"/>
                <w:b w:val="0"/>
                <w:color w:val="auto"/>
                <w:sz w:val="24"/>
                <w:lang w:eastAsia="zh-CN"/>
              </w:rPr>
              <w:t>。</w:t>
            </w:r>
          </w:p>
        </w:tc>
      </w:tr>
      <w:tr w14:paraId="1631F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7BC1E0C4">
            <w:pPr>
              <w:spacing w:before="0" w:after="0" w:line="276" w:lineRule="auto"/>
              <w:jc w:val="center"/>
              <w:rPr>
                <w:rFonts w:hint="eastAsia"/>
                <w:lang w:val="en-US" w:eastAsia="zh-CN"/>
              </w:rPr>
            </w:pPr>
          </w:p>
        </w:tc>
        <w:tc>
          <w:tcPr>
            <w:tcW w:w="920" w:type="dxa"/>
            <w:noWrap w:val="0"/>
            <w:tcMar>
              <w:top w:w="90" w:type="dxa"/>
              <w:left w:w="100" w:type="dxa"/>
              <w:bottom w:w="90" w:type="dxa"/>
              <w:right w:w="100" w:type="dxa"/>
            </w:tcMar>
            <w:vAlign w:val="center"/>
          </w:tcPr>
          <w:p w14:paraId="17A758A6">
            <w:pPr>
              <w:spacing w:before="0" w:after="0" w:line="276" w:lineRule="auto"/>
              <w:jc w:val="center"/>
              <w:rPr>
                <w:rFonts w:hint="default" w:eastAsia="宋体"/>
                <w:lang w:val="en-US" w:eastAsia="zh-CN"/>
              </w:rPr>
            </w:pPr>
            <w:r>
              <w:rPr>
                <w:rFonts w:hint="eastAsia"/>
                <w:lang w:val="en-US" w:eastAsia="zh-CN"/>
              </w:rPr>
              <w:t>10</w:t>
            </w:r>
          </w:p>
        </w:tc>
        <w:tc>
          <w:tcPr>
            <w:tcW w:w="7599" w:type="dxa"/>
            <w:noWrap w:val="0"/>
            <w:tcMar>
              <w:top w:w="90" w:type="dxa"/>
              <w:left w:w="100" w:type="dxa"/>
              <w:bottom w:w="90" w:type="dxa"/>
              <w:right w:w="100" w:type="dxa"/>
            </w:tcMar>
            <w:vAlign w:val="center"/>
          </w:tcPr>
          <w:p w14:paraId="07CE92DC">
            <w:pPr>
              <w:spacing w:before="0" w:after="0" w:line="276" w:lineRule="auto"/>
              <w:jc w:val="left"/>
            </w:pPr>
            <w:r>
              <w:rPr>
                <w:rFonts w:ascii="Times New Roman" w:hAnsi="Times New Roman" w:eastAsia="方正仿宋_GB2312"/>
                <w:b w:val="0"/>
                <w:sz w:val="24"/>
              </w:rPr>
              <w:t>为满足不同场景下对存储性能和可靠性的要求，支持为虚拟机磁盘配置不同存储策略，例如重要虚拟机可选择三副本高性能策略，普通虚拟机可选择二副本默认策略。为保证数据存储可靠性，所投产品须具有依据《信息技术</w:t>
            </w:r>
            <w:r>
              <w:rPr>
                <w:rFonts w:hint="eastAsia" w:ascii="Times New Roman" w:hAnsi="Times New Roman" w:eastAsia="方正仿宋_GB2312"/>
                <w:b w:val="0"/>
                <w:sz w:val="24"/>
                <w:lang w:val="en-US" w:eastAsia="zh-CN"/>
              </w:rPr>
              <w:t xml:space="preserve"> </w:t>
            </w:r>
            <w:r>
              <w:rPr>
                <w:rFonts w:ascii="Times New Roman" w:hAnsi="Times New Roman" w:eastAsia="方正仿宋_GB2312"/>
                <w:b w:val="0"/>
                <w:sz w:val="24"/>
              </w:rPr>
              <w:t>云计算</w:t>
            </w:r>
            <w:r>
              <w:rPr>
                <w:rFonts w:hint="eastAsia" w:ascii="Times New Roman" w:hAnsi="Times New Roman" w:eastAsia="方正仿宋_GB2312"/>
                <w:b w:val="0"/>
                <w:sz w:val="24"/>
                <w:lang w:val="en-US" w:eastAsia="zh-CN"/>
              </w:rPr>
              <w:t xml:space="preserve"> </w:t>
            </w:r>
            <w:r>
              <w:rPr>
                <w:rFonts w:ascii="Times New Roman" w:hAnsi="Times New Roman" w:eastAsia="方正仿宋_GB2312"/>
                <w:b w:val="0"/>
                <w:sz w:val="24"/>
              </w:rPr>
              <w:t>分布式块存储系统总体技术要求》（GB/T 37737—2019）标准出具的测评报告。</w:t>
            </w:r>
          </w:p>
        </w:tc>
      </w:tr>
      <w:tr w14:paraId="5DF3C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7197394A">
            <w:pPr>
              <w:spacing w:before="0" w:after="0" w:line="276" w:lineRule="auto"/>
              <w:jc w:val="center"/>
              <w:rPr>
                <w:rFonts w:ascii="Times New Roman" w:hAnsi="Times New Roman" w:eastAsia="方正仿宋_GB2312"/>
                <w:b w:val="0"/>
                <w:sz w:val="24"/>
              </w:rPr>
            </w:pPr>
          </w:p>
        </w:tc>
        <w:tc>
          <w:tcPr>
            <w:tcW w:w="920" w:type="dxa"/>
            <w:noWrap w:val="0"/>
            <w:tcMar>
              <w:top w:w="90" w:type="dxa"/>
              <w:left w:w="100" w:type="dxa"/>
              <w:bottom w:w="90" w:type="dxa"/>
              <w:right w:w="100" w:type="dxa"/>
            </w:tcMar>
            <w:vAlign w:val="center"/>
          </w:tcPr>
          <w:p w14:paraId="66CBC691">
            <w:pPr>
              <w:spacing w:before="0" w:after="0" w:line="276" w:lineRule="auto"/>
              <w:jc w:val="center"/>
              <w:rPr>
                <w:rFonts w:hint="eastAsia" w:eastAsia="方正仿宋_GB2312"/>
                <w:lang w:val="en-US" w:eastAsia="zh-CN"/>
              </w:rPr>
            </w:pPr>
            <w:r>
              <w:rPr>
                <w:rFonts w:ascii="Times New Roman" w:hAnsi="Times New Roman" w:eastAsia="方正仿宋_GB2312"/>
                <w:b w:val="0"/>
                <w:sz w:val="24"/>
              </w:rPr>
              <w:t>1</w:t>
            </w:r>
            <w:r>
              <w:rPr>
                <w:rFonts w:hint="eastAsia" w:ascii="Times New Roman" w:hAnsi="Times New Roman" w:eastAsia="方正仿宋_GB2312"/>
                <w:b w:val="0"/>
                <w:sz w:val="24"/>
                <w:lang w:val="en-US" w:eastAsia="zh-CN"/>
              </w:rPr>
              <w:t>1</w:t>
            </w:r>
          </w:p>
        </w:tc>
        <w:tc>
          <w:tcPr>
            <w:tcW w:w="7599" w:type="dxa"/>
            <w:noWrap w:val="0"/>
            <w:tcMar>
              <w:top w:w="90" w:type="dxa"/>
              <w:left w:w="100" w:type="dxa"/>
              <w:bottom w:w="90" w:type="dxa"/>
              <w:right w:w="100" w:type="dxa"/>
            </w:tcMar>
            <w:vAlign w:val="center"/>
          </w:tcPr>
          <w:p w14:paraId="7664C876">
            <w:pPr>
              <w:spacing w:before="0" w:after="0" w:line="276" w:lineRule="auto"/>
              <w:jc w:val="left"/>
            </w:pPr>
            <w:r>
              <w:rPr>
                <w:rFonts w:ascii="Times New Roman" w:hAnsi="Times New Roman" w:eastAsia="方正仿宋_GB2312"/>
                <w:b w:val="0"/>
                <w:sz w:val="24"/>
              </w:rPr>
              <w:t>为实现平台自主可控，要求超融合产品的安全虚拟化软件为完全自主研发、非OEM产品。</w:t>
            </w:r>
          </w:p>
        </w:tc>
      </w:tr>
      <w:tr w14:paraId="781C5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20" w:type="dxa"/>
            <w:noWrap w:val="0"/>
            <w:tcMar>
              <w:top w:w="90" w:type="dxa"/>
              <w:left w:w="100" w:type="dxa"/>
              <w:bottom w:w="90" w:type="dxa"/>
              <w:right w:w="100" w:type="dxa"/>
            </w:tcMar>
            <w:vAlign w:val="center"/>
          </w:tcPr>
          <w:p w14:paraId="7D55D50C">
            <w:pPr>
              <w:spacing w:before="0" w:after="0" w:line="276" w:lineRule="auto"/>
              <w:jc w:val="center"/>
              <w:rPr>
                <w:rFonts w:hint="eastAsia" w:ascii="Times New Roman" w:hAnsi="Times New Roman" w:eastAsia="方正仿宋_GB2312"/>
                <w:b w:val="0"/>
                <w:sz w:val="24"/>
                <w:lang w:val="en-US" w:eastAsia="zh-CN"/>
              </w:rPr>
            </w:pPr>
            <w:r>
              <w:rPr>
                <w:rFonts w:ascii="Times New Roman" w:hAnsi="Times New Roman" w:eastAsia="方正仿宋_GB2312"/>
                <w:b w:val="0"/>
                <w:sz w:val="24"/>
              </w:rPr>
              <w:t>★</w:t>
            </w:r>
          </w:p>
        </w:tc>
        <w:tc>
          <w:tcPr>
            <w:tcW w:w="920" w:type="dxa"/>
            <w:noWrap w:val="0"/>
            <w:tcMar>
              <w:top w:w="90" w:type="dxa"/>
              <w:left w:w="100" w:type="dxa"/>
              <w:bottom w:w="90" w:type="dxa"/>
              <w:right w:w="100" w:type="dxa"/>
            </w:tcMar>
            <w:vAlign w:val="center"/>
          </w:tcPr>
          <w:p w14:paraId="7B2C4EA0">
            <w:pPr>
              <w:spacing w:before="0" w:after="0" w:line="276" w:lineRule="auto"/>
              <w:jc w:val="center"/>
              <w:rPr>
                <w:rFonts w:hint="default" w:ascii="Times New Roman" w:hAnsi="Times New Roman" w:eastAsia="方正仿宋_GB2312"/>
                <w:b w:val="0"/>
                <w:sz w:val="24"/>
                <w:lang w:val="en-US" w:eastAsia="zh-CN"/>
              </w:rPr>
            </w:pPr>
            <w:r>
              <w:rPr>
                <w:rFonts w:hint="eastAsia" w:ascii="Times New Roman" w:hAnsi="Times New Roman" w:eastAsia="方正仿宋_GB2312"/>
                <w:b w:val="0"/>
                <w:sz w:val="24"/>
                <w:lang w:val="en-US" w:eastAsia="zh-CN"/>
              </w:rPr>
              <w:t>13</w:t>
            </w:r>
          </w:p>
        </w:tc>
        <w:tc>
          <w:tcPr>
            <w:tcW w:w="7599" w:type="dxa"/>
            <w:noWrap w:val="0"/>
            <w:tcMar>
              <w:top w:w="90" w:type="dxa"/>
              <w:left w:w="100" w:type="dxa"/>
              <w:bottom w:w="90" w:type="dxa"/>
              <w:right w:w="100" w:type="dxa"/>
            </w:tcMar>
            <w:vAlign w:val="center"/>
          </w:tcPr>
          <w:p w14:paraId="4F47E888">
            <w:pPr>
              <w:spacing w:before="0" w:after="0" w:line="276" w:lineRule="auto"/>
              <w:jc w:val="left"/>
              <w:rPr>
                <w:rFonts w:ascii="Times New Roman" w:hAnsi="Times New Roman" w:eastAsia="方正仿宋_GB2312"/>
                <w:b w:val="0"/>
                <w:sz w:val="24"/>
              </w:rPr>
            </w:pPr>
            <w:r>
              <w:rPr>
                <w:rFonts w:hint="eastAsia" w:ascii="Times New Roman" w:hAnsi="Times New Roman" w:eastAsia="方正仿宋_GB2312"/>
                <w:b w:val="0"/>
                <w:sz w:val="24"/>
              </w:rPr>
              <w:t>请各位投标人如实响应各项技术要求，严禁存在夸大性能、虚报功能、伪造资质等不实应答行为，中标后，我单位有权要求中标方针对响应的技术要求进行现场功能验证。若验证结果与投标文件书面响应内容存在实质性不符，直接判定该中标人构成虚假应标。一经查实虚假应标，我单位将取消中标资格，将涉事企业纳入供应商黑名单限制后续投标，通报失信记录至相关监管平台;若已签订合同则立即解约并追偿全部经济损失，同时依据招投标相关法规追究该投标人全部相应法律责任。</w:t>
            </w:r>
          </w:p>
        </w:tc>
      </w:tr>
      <w:tr w14:paraId="52E6E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439" w:type="dxa"/>
            <w:gridSpan w:val="3"/>
            <w:noWrap w:val="0"/>
            <w:tcMar>
              <w:top w:w="90" w:type="dxa"/>
              <w:left w:w="100" w:type="dxa"/>
              <w:bottom w:w="90" w:type="dxa"/>
              <w:right w:w="100" w:type="dxa"/>
            </w:tcMar>
            <w:vAlign w:val="center"/>
          </w:tcPr>
          <w:p w14:paraId="477ACB87">
            <w:pPr>
              <w:spacing w:before="0" w:after="0" w:line="276" w:lineRule="auto"/>
              <w:jc w:val="left"/>
              <w:rPr>
                <w:rFonts w:hint="eastAsia" w:ascii="Times New Roman" w:hAnsi="Times New Roman" w:eastAsia="方正仿宋_GB2312"/>
                <w:b w:val="0"/>
                <w:sz w:val="24"/>
              </w:rPr>
            </w:pPr>
            <w:r>
              <w:rPr>
                <w:rFonts w:hint="eastAsia" w:ascii="Times New Roman" w:hAnsi="Times New Roman" w:eastAsia="方正仿宋_GB2312"/>
                <w:b w:val="0"/>
                <w:sz w:val="24"/>
                <w:lang w:val="en-US" w:eastAsia="zh-CN"/>
              </w:rPr>
              <w:t>注：所有技术参数中标“</w:t>
            </w:r>
            <w:r>
              <w:rPr>
                <w:rFonts w:ascii="Times New Roman" w:hAnsi="Times New Roman" w:eastAsia="方正仿宋_GB2312"/>
                <w:b w:val="0"/>
                <w:sz w:val="24"/>
              </w:rPr>
              <w:t>★</w:t>
            </w:r>
            <w:r>
              <w:rPr>
                <w:rFonts w:hint="eastAsia" w:ascii="Times New Roman" w:hAnsi="Times New Roman" w:eastAsia="方正仿宋_GB2312"/>
                <w:b w:val="0"/>
                <w:sz w:val="24"/>
                <w:lang w:val="en-US" w:eastAsia="zh-CN"/>
              </w:rPr>
              <w:t>”项为主要技术参数，任意1条不满足则导致响应无效。</w:t>
            </w:r>
          </w:p>
        </w:tc>
      </w:tr>
    </w:tbl>
    <w:p w14:paraId="3516D20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7D2BDA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789B81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EAA6B4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725463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CB5FF6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BE88C7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69615B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B21290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6F0F6A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F68A18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2A9FEF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4B4DCA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3D49617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A12D7B">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DEA426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03D0F4-E36F-4EFD-AE48-407870DF6E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embedRegular r:id="rId2" w:fontKey="{82408747-6E26-413E-B619-F0D3B34E03E5}"/>
  </w:font>
  <w:font w:name="Calibri Light">
    <w:panose1 w:val="020F0302020204030204"/>
    <w:charset w:val="00"/>
    <w:family w:val="auto"/>
    <w:pitch w:val="default"/>
    <w:sig w:usb0="E4002EFF" w:usb1="C200247B" w:usb2="00000009" w:usb3="00000000" w:csb0="200001FF" w:csb1="00000000"/>
    <w:embedRegular r:id="rId3" w:fontKey="{3541FE0D-6418-4F70-978E-50733EFE0AF6}"/>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方正仿宋_GB2312">
    <w:panose1 w:val="02000000000000000000"/>
    <w:charset w:val="86"/>
    <w:family w:val="auto"/>
    <w:pitch w:val="default"/>
    <w:sig w:usb0="A00002BF" w:usb1="184F6CFA" w:usb2="00000012" w:usb3="00000000" w:csb0="00040001" w:csb1="00000000"/>
    <w:embedRegular r:id="rId4" w:fontKey="{FE2D2A4D-B31E-432E-9783-FBE9A410B2BD}"/>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5376F42"/>
    <w:rsid w:val="4603606C"/>
    <w:rsid w:val="469A594D"/>
    <w:rsid w:val="47C04769"/>
    <w:rsid w:val="486160DA"/>
    <w:rsid w:val="489F057B"/>
    <w:rsid w:val="4A21514B"/>
    <w:rsid w:val="4A686022"/>
    <w:rsid w:val="4ABC14C5"/>
    <w:rsid w:val="4AED3729"/>
    <w:rsid w:val="4C422DF2"/>
    <w:rsid w:val="4E473895"/>
    <w:rsid w:val="4FAE4949"/>
    <w:rsid w:val="4FAE723C"/>
    <w:rsid w:val="4FB4704D"/>
    <w:rsid w:val="4FB664D2"/>
    <w:rsid w:val="50110E80"/>
    <w:rsid w:val="511070DA"/>
    <w:rsid w:val="51925DE3"/>
    <w:rsid w:val="525F3507"/>
    <w:rsid w:val="5277467D"/>
    <w:rsid w:val="53560822"/>
    <w:rsid w:val="557D67C8"/>
    <w:rsid w:val="56153F97"/>
    <w:rsid w:val="56866800"/>
    <w:rsid w:val="571E5CB6"/>
    <w:rsid w:val="576C6B11"/>
    <w:rsid w:val="57863DB7"/>
    <w:rsid w:val="58156ACB"/>
    <w:rsid w:val="58677144"/>
    <w:rsid w:val="59137211"/>
    <w:rsid w:val="597F55E4"/>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7448</Words>
  <Characters>8369</Characters>
  <Lines>0</Lines>
  <Paragraphs>0</Paragraphs>
  <TotalTime>5</TotalTime>
  <ScaleCrop>false</ScaleCrop>
  <LinksUpToDate>false</LinksUpToDate>
  <CharactersWithSpaces>8917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2026-08-18T03:48:53Z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30735061E50B4A30B5593F63F20BC3A0_13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