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78FD7398">
      <w:pPr>
        <w:numPr>
          <w:ilvl w:val="0"/>
          <w:numId w:val="0"/>
        </w:numPr>
        <w:jc w:val="center"/>
        <w:rPr>
          <w:rFonts w:hint="eastAsia" w:ascii="宋体" w:hAnsi="宋体" w:eastAsia="宋体" w:cs="宋体"/>
          <w:b/>
          <w:i w:val="0"/>
          <w:caps/>
          <w:color w:val="333333"/>
          <w:spacing w:val="0"/>
          <w:sz w:val="36"/>
          <w:szCs w:val="36"/>
          <w:lang w:val="en-US" w:eastAsia="zh-CN"/>
        </w:rPr>
      </w:pPr>
      <w:bookmarkStart w:id="1" w:name="_GoBack"/>
      <w:r>
        <w:rPr>
          <w:rFonts w:hint="eastAsia" w:ascii="宋体" w:hAnsi="宋体" w:eastAsia="宋体" w:cs="宋体"/>
          <w:b/>
          <w:i w:val="0"/>
          <w:caps/>
          <w:color w:val="333333"/>
          <w:spacing w:val="0"/>
          <w:sz w:val="36"/>
          <w:szCs w:val="36"/>
          <w:lang w:val="en-US" w:eastAsia="zh-CN"/>
        </w:rPr>
        <w:t>高频电刀等项目</w:t>
      </w:r>
      <w:bookmarkEnd w:id="1"/>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2026年8月20日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42ED3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FA02F4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395693A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307E797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1B9D271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4354983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7E16DE8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5FFD4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DC7192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3B835C9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高频电刀</w:t>
            </w:r>
          </w:p>
        </w:tc>
        <w:tc>
          <w:tcPr>
            <w:tcW w:w="1200" w:type="dxa"/>
            <w:vAlign w:val="center"/>
          </w:tcPr>
          <w:p w14:paraId="1BB5CB2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70255ECA">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1683" w:type="dxa"/>
            <w:vAlign w:val="center"/>
          </w:tcPr>
          <w:p w14:paraId="04BA3EC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80000</w:t>
            </w:r>
          </w:p>
        </w:tc>
        <w:tc>
          <w:tcPr>
            <w:tcW w:w="1650" w:type="dxa"/>
            <w:vAlign w:val="center"/>
          </w:tcPr>
          <w:p w14:paraId="1802AE5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320000</w:t>
            </w:r>
          </w:p>
        </w:tc>
      </w:tr>
      <w:tr w14:paraId="2B89A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752454F">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00AAD03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超声波治疗仪</w:t>
            </w:r>
          </w:p>
        </w:tc>
        <w:tc>
          <w:tcPr>
            <w:tcW w:w="1200" w:type="dxa"/>
            <w:vAlign w:val="center"/>
          </w:tcPr>
          <w:p w14:paraId="1EC7430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6CF32BD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02FAC49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180000</w:t>
            </w:r>
          </w:p>
        </w:tc>
        <w:tc>
          <w:tcPr>
            <w:tcW w:w="1650" w:type="dxa"/>
            <w:vAlign w:val="center"/>
          </w:tcPr>
          <w:p w14:paraId="7A2C1F2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180000</w:t>
            </w:r>
          </w:p>
        </w:tc>
      </w:tr>
      <w:tr w14:paraId="47573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0489190B">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22A393D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7CF6DA6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500000</w:t>
            </w:r>
          </w:p>
        </w:tc>
      </w:tr>
      <w:tr w14:paraId="0C2A6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39C821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09FDF47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0595775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334EB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DFED54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08E383D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3686023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5058B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5EC273F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3DA186E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6708EA6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 100% 。</w:t>
            </w:r>
          </w:p>
        </w:tc>
      </w:tr>
      <w:tr w14:paraId="25589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01BF3D8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7C95797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2EADA71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71555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71B7381B">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2F1408FD">
            <w:pPr>
              <w:widowControl/>
              <w:ind w:firstLine="840" w:firstLineChars="300"/>
              <w:jc w:val="both"/>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693662D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若投标产品为第一类医疗设备，投标人提供其在有效期内的营业执照中的经营范围须包含第一类医疗器械销售。</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4C773A18">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2E81A862">
      <w:pPr>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w:t>
      </w:r>
      <w:r>
        <w:rPr>
          <w:rFonts w:hint="eastAsia" w:ascii="宋体" w:hAnsi="宋体" w:eastAsia="宋体" w:cs="宋体"/>
          <w:sz w:val="24"/>
          <w:szCs w:val="24"/>
          <w:lang w:val="en-US" w:eastAsia="zh-CN"/>
        </w:rPr>
        <w:t>一</w:t>
      </w:r>
      <w:r>
        <w:rPr>
          <w:rFonts w:hint="eastAsia" w:ascii="宋体" w:hAnsi="宋体" w:eastAsia="宋体" w:cs="宋体"/>
          <w:sz w:val="24"/>
          <w:szCs w:val="24"/>
        </w:rPr>
        <w:t>）项目基本情况介绍：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本项目包含4台高频电刀，用于术中电切和电凝；1台超声波治疗仪，用于疼痛门诊。</w:t>
      </w:r>
    </w:p>
    <w:p w14:paraId="0C2037E8">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）技术参数和要求（功能和质量）</w:t>
      </w:r>
    </w:p>
    <w:p w14:paraId="35103A16">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kern w:val="0"/>
          <w:sz w:val="24"/>
          <w:szCs w:val="24"/>
          <w:lang w:val="en-US" w:eastAsia="zh-CN"/>
        </w:rPr>
        <w:t>高频电刀</w:t>
      </w:r>
    </w:p>
    <w:tbl>
      <w:tblPr>
        <w:tblStyle w:val="11"/>
        <w:tblW w:w="8961" w:type="dxa"/>
        <w:jc w:val="center"/>
        <w:tblLayout w:type="fixed"/>
        <w:tblCellMar>
          <w:top w:w="0" w:type="dxa"/>
          <w:left w:w="108" w:type="dxa"/>
          <w:bottom w:w="0" w:type="dxa"/>
          <w:right w:w="108" w:type="dxa"/>
        </w:tblCellMar>
      </w:tblPr>
      <w:tblGrid>
        <w:gridCol w:w="692"/>
        <w:gridCol w:w="791"/>
        <w:gridCol w:w="7478"/>
      </w:tblGrid>
      <w:tr w14:paraId="5009C71D">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1E5BDBB">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91" w:type="dxa"/>
            <w:tcBorders>
              <w:top w:val="single" w:color="auto" w:sz="4" w:space="0"/>
              <w:left w:val="nil"/>
              <w:bottom w:val="single" w:color="auto" w:sz="4" w:space="0"/>
              <w:right w:val="single" w:color="auto" w:sz="4" w:space="0"/>
            </w:tcBorders>
            <w:vAlign w:val="center"/>
          </w:tcPr>
          <w:p w14:paraId="03BDFFB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478" w:type="dxa"/>
            <w:tcBorders>
              <w:top w:val="single" w:color="auto" w:sz="4" w:space="0"/>
              <w:left w:val="nil"/>
              <w:bottom w:val="single" w:color="auto" w:sz="4" w:space="0"/>
              <w:right w:val="single" w:color="auto" w:sz="4" w:space="0"/>
            </w:tcBorders>
            <w:vAlign w:val="center"/>
          </w:tcPr>
          <w:p w14:paraId="05C9284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sz w:val="21"/>
                <w:szCs w:val="21"/>
              </w:rPr>
            </w:pPr>
            <w:r>
              <w:rPr>
                <w:rFonts w:hint="eastAsia" w:ascii="宋体" w:hAnsi="宋体" w:eastAsia="宋体" w:cs="宋体"/>
                <w:sz w:val="21"/>
                <w:szCs w:val="21"/>
              </w:rPr>
              <w:t>技术参数和性能指标</w:t>
            </w:r>
          </w:p>
        </w:tc>
      </w:tr>
      <w:tr w14:paraId="298B5794">
        <w:tblPrEx>
          <w:tblCellMar>
            <w:top w:w="0" w:type="dxa"/>
            <w:left w:w="108" w:type="dxa"/>
            <w:bottom w:w="0" w:type="dxa"/>
            <w:right w:w="108" w:type="dxa"/>
          </w:tblCellMar>
        </w:tblPrEx>
        <w:trPr>
          <w:trHeight w:val="620"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3877283">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lo-LA"/>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27606BB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w:t>
            </w:r>
          </w:p>
        </w:tc>
        <w:tc>
          <w:tcPr>
            <w:tcW w:w="7478" w:type="dxa"/>
            <w:tcBorders>
              <w:top w:val="single" w:color="auto" w:sz="4" w:space="0"/>
              <w:left w:val="nil"/>
              <w:bottom w:val="single" w:color="auto" w:sz="4" w:space="0"/>
              <w:right w:val="single" w:color="auto" w:sz="4" w:space="0"/>
            </w:tcBorders>
            <w:shd w:val="clear" w:color="auto" w:fill="auto"/>
            <w:vAlign w:val="center"/>
          </w:tcPr>
          <w:p w14:paraId="0D2209E4">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单极切割具有≥3种输出模式：切割功率：纯切：0－300W；波峰电压≥1000V；</w:t>
            </w:r>
          </w:p>
          <w:p w14:paraId="6DC9A3E0">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混切：0－200W；波峰电压≥1200V。</w:t>
            </w:r>
          </w:p>
        </w:tc>
      </w:tr>
      <w:tr w14:paraId="2288554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9652F83">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lo-LA"/>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621A33AE">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w:t>
            </w:r>
          </w:p>
        </w:tc>
        <w:tc>
          <w:tcPr>
            <w:tcW w:w="7478" w:type="dxa"/>
            <w:tcBorders>
              <w:top w:val="single" w:color="auto" w:sz="4" w:space="0"/>
              <w:left w:val="nil"/>
              <w:bottom w:val="single" w:color="auto" w:sz="4" w:space="0"/>
              <w:right w:val="single" w:color="auto" w:sz="4" w:space="0"/>
            </w:tcBorders>
            <w:shd w:val="clear" w:color="auto" w:fill="auto"/>
            <w:vAlign w:val="center"/>
          </w:tcPr>
          <w:p w14:paraId="0989267D">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单极凝血具有≥2种输出模式：凝血功率：标凝：0－120W；波峰电压≥3000V；</w:t>
            </w:r>
          </w:p>
          <w:p w14:paraId="56356D31">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喷凝：0－80W； 波峰电压≥4400V。</w:t>
            </w:r>
          </w:p>
        </w:tc>
      </w:tr>
      <w:tr w14:paraId="3AF6BF8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95C080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lo-LA"/>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2DBF077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478" w:type="dxa"/>
            <w:tcBorders>
              <w:top w:val="single" w:color="auto" w:sz="4" w:space="0"/>
              <w:left w:val="nil"/>
              <w:bottom w:val="single" w:color="auto" w:sz="4" w:space="0"/>
              <w:right w:val="single" w:color="auto" w:sz="4" w:space="0"/>
            </w:tcBorders>
            <w:shd w:val="clear" w:color="auto" w:fill="auto"/>
            <w:vAlign w:val="center"/>
          </w:tcPr>
          <w:p w14:paraId="71776E80">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双极凝血具有≥2种输出模式：微双极功率：0-70W；波峰电压≥150V；宏双极功率：0-70W；波峰电压≥500V。</w:t>
            </w:r>
          </w:p>
        </w:tc>
      </w:tr>
      <w:tr w14:paraId="65F78DD8">
        <w:tblPrEx>
          <w:tblCellMar>
            <w:top w:w="0" w:type="dxa"/>
            <w:left w:w="108" w:type="dxa"/>
            <w:bottom w:w="0" w:type="dxa"/>
            <w:right w:w="108" w:type="dxa"/>
          </w:tblCellMar>
        </w:tblPrEx>
        <w:trPr>
          <w:trHeight w:val="342"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FBBCD19">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lang w:val="en-US" w:eastAsia="zh-CN" w:bidi="lo-LA"/>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4B278D81">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478" w:type="dxa"/>
            <w:tcBorders>
              <w:top w:val="single" w:color="auto" w:sz="4" w:space="0"/>
              <w:left w:val="nil"/>
              <w:bottom w:val="single" w:color="auto" w:sz="4" w:space="0"/>
              <w:right w:val="single" w:color="auto" w:sz="4" w:space="0"/>
            </w:tcBorders>
            <w:shd w:val="clear" w:color="auto" w:fill="auto"/>
            <w:vAlign w:val="center"/>
          </w:tcPr>
          <w:p w14:paraId="4C929E5F">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可连接两支单极手控刀笔同时进行电切或同时进行电凝功能，以缩短手术时间，一台刀到即可完成多切口手术。</w:t>
            </w:r>
          </w:p>
        </w:tc>
      </w:tr>
      <w:tr w14:paraId="6FC614B8">
        <w:tblPrEx>
          <w:tblCellMar>
            <w:top w:w="0" w:type="dxa"/>
            <w:left w:w="108" w:type="dxa"/>
            <w:bottom w:w="0" w:type="dxa"/>
            <w:right w:w="108" w:type="dxa"/>
          </w:tblCellMar>
        </w:tblPrEx>
        <w:trPr>
          <w:trHeight w:val="342"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7E885C9">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lo-LA"/>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44CA8392">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478" w:type="dxa"/>
            <w:tcBorders>
              <w:top w:val="single" w:color="auto" w:sz="4" w:space="0"/>
              <w:left w:val="nil"/>
              <w:bottom w:val="single" w:color="auto" w:sz="4" w:space="0"/>
              <w:right w:val="single" w:color="auto" w:sz="4" w:space="0"/>
            </w:tcBorders>
            <w:shd w:val="clear" w:color="auto" w:fill="auto"/>
            <w:vAlign w:val="center"/>
          </w:tcPr>
          <w:p w14:paraId="6CC92518">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设备应采用LED功率显示方式。</w:t>
            </w:r>
          </w:p>
        </w:tc>
      </w:tr>
      <w:tr w14:paraId="09F10D33">
        <w:tblPrEx>
          <w:tblCellMar>
            <w:top w:w="0" w:type="dxa"/>
            <w:left w:w="108" w:type="dxa"/>
            <w:bottom w:w="0" w:type="dxa"/>
            <w:right w:w="108" w:type="dxa"/>
          </w:tblCellMar>
        </w:tblPrEx>
        <w:trPr>
          <w:trHeight w:val="342"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3656A5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lang w:val="en-US" w:eastAsia="zh-CN" w:bidi="lo-LA"/>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007BF57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478" w:type="dxa"/>
            <w:tcBorders>
              <w:top w:val="single" w:color="auto" w:sz="4" w:space="0"/>
              <w:left w:val="nil"/>
              <w:bottom w:val="single" w:color="auto" w:sz="4" w:space="0"/>
              <w:right w:val="single" w:color="auto" w:sz="4" w:space="0"/>
            </w:tcBorders>
            <w:shd w:val="clear" w:color="auto" w:fill="auto"/>
            <w:vAlign w:val="center"/>
          </w:tcPr>
          <w:p w14:paraId="182CCFFB">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回路电极板应具有双重监测功能：负极板接触电阻超过10～150欧姆或超过初始阻抗30%，系统即进行声光报警，同时停止输出。</w:t>
            </w:r>
          </w:p>
        </w:tc>
      </w:tr>
      <w:tr w14:paraId="4B825C98">
        <w:tblPrEx>
          <w:tblCellMar>
            <w:top w:w="0" w:type="dxa"/>
            <w:left w:w="108" w:type="dxa"/>
            <w:bottom w:w="0" w:type="dxa"/>
            <w:right w:w="108" w:type="dxa"/>
          </w:tblCellMar>
        </w:tblPrEx>
        <w:trPr>
          <w:trHeight w:val="342"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27B910C">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lo-LA"/>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4761BC1D">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478" w:type="dxa"/>
            <w:tcBorders>
              <w:top w:val="single" w:color="auto" w:sz="4" w:space="0"/>
              <w:left w:val="nil"/>
              <w:bottom w:val="single" w:color="auto" w:sz="4" w:space="0"/>
              <w:right w:val="single" w:color="auto" w:sz="4" w:space="0"/>
            </w:tcBorders>
            <w:shd w:val="clear" w:color="auto" w:fill="auto"/>
            <w:vAlign w:val="center"/>
          </w:tcPr>
          <w:p w14:paraId="6BE8C21E">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设备应采用无风扇式电子散热系统，避免长期风扇散热导致的飞絮增加及层流污染，确保无菌操作。</w:t>
            </w:r>
          </w:p>
        </w:tc>
      </w:tr>
      <w:tr w14:paraId="4DCCE5A5">
        <w:tblPrEx>
          <w:tblCellMar>
            <w:top w:w="0" w:type="dxa"/>
            <w:left w:w="108" w:type="dxa"/>
            <w:bottom w:w="0" w:type="dxa"/>
            <w:right w:w="108" w:type="dxa"/>
          </w:tblCellMar>
        </w:tblPrEx>
        <w:trPr>
          <w:trHeight w:val="342"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5B7EF7F">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lo-LA"/>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6B36509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478" w:type="dxa"/>
            <w:tcBorders>
              <w:top w:val="single" w:color="auto" w:sz="4" w:space="0"/>
              <w:left w:val="nil"/>
              <w:bottom w:val="single" w:color="auto" w:sz="4" w:space="0"/>
              <w:right w:val="single" w:color="auto" w:sz="4" w:space="0"/>
            </w:tcBorders>
            <w:shd w:val="clear" w:color="auto" w:fill="auto"/>
            <w:vAlign w:val="center"/>
          </w:tcPr>
          <w:p w14:paraId="4BB85464">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设备单极脚控开关及双极脚控开关应为分开单独配备，以免误踩踏造成的意外及转换的繁琐。</w:t>
            </w:r>
          </w:p>
        </w:tc>
      </w:tr>
      <w:tr w14:paraId="6C760DC7">
        <w:tblPrEx>
          <w:tblCellMar>
            <w:top w:w="0" w:type="dxa"/>
            <w:left w:w="108" w:type="dxa"/>
            <w:bottom w:w="0" w:type="dxa"/>
            <w:right w:w="108" w:type="dxa"/>
          </w:tblCellMar>
        </w:tblPrEx>
        <w:trPr>
          <w:trHeight w:val="358"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D50B86C">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lo-LA"/>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519BE67E">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478" w:type="dxa"/>
            <w:tcBorders>
              <w:top w:val="single" w:color="auto" w:sz="4" w:space="0"/>
              <w:left w:val="nil"/>
              <w:bottom w:val="single" w:color="auto" w:sz="4" w:space="0"/>
              <w:right w:val="single" w:color="auto" w:sz="4" w:space="0"/>
            </w:tcBorders>
            <w:shd w:val="clear" w:color="auto" w:fill="auto"/>
            <w:vAlign w:val="center"/>
          </w:tcPr>
          <w:p w14:paraId="7887A80A">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应具备内置式数字输出端口，支持数字化手术室解决方案，可升级成为氩气刀。</w:t>
            </w:r>
          </w:p>
        </w:tc>
      </w:tr>
      <w:tr w14:paraId="77C02DF0">
        <w:tblPrEx>
          <w:tblCellMar>
            <w:top w:w="0" w:type="dxa"/>
            <w:left w:w="108" w:type="dxa"/>
            <w:bottom w:w="0" w:type="dxa"/>
            <w:right w:w="108" w:type="dxa"/>
          </w:tblCellMar>
        </w:tblPrEx>
        <w:trPr>
          <w:trHeight w:val="366"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C842F95">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lo-LA"/>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09EFA5D4">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478" w:type="dxa"/>
            <w:tcBorders>
              <w:top w:val="single" w:color="auto" w:sz="4" w:space="0"/>
              <w:left w:val="nil"/>
              <w:bottom w:val="single" w:color="auto" w:sz="4" w:space="0"/>
              <w:right w:val="single" w:color="auto" w:sz="4" w:space="0"/>
            </w:tcBorders>
            <w:shd w:val="clear" w:color="auto" w:fill="auto"/>
            <w:vAlign w:val="center"/>
          </w:tcPr>
          <w:p w14:paraId="4D5A026D">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防电击保护类型应为I类设备，防电击保护程度应为CF型，具有抗除颤防护能力。</w:t>
            </w:r>
          </w:p>
        </w:tc>
      </w:tr>
      <w:tr w14:paraId="12012F1E">
        <w:tblPrEx>
          <w:tblCellMar>
            <w:top w:w="0" w:type="dxa"/>
            <w:left w:w="108" w:type="dxa"/>
            <w:bottom w:w="0" w:type="dxa"/>
            <w:right w:w="108" w:type="dxa"/>
          </w:tblCellMar>
        </w:tblPrEx>
        <w:trPr>
          <w:trHeight w:val="406"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DEF7D3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lang w:val="en-US" w:eastAsia="zh-CN" w:bidi="lo-LA"/>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77086E2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478" w:type="dxa"/>
            <w:tcBorders>
              <w:top w:val="single" w:color="auto" w:sz="4" w:space="0"/>
              <w:left w:val="nil"/>
              <w:bottom w:val="single" w:color="auto" w:sz="4" w:space="0"/>
              <w:right w:val="single" w:color="auto" w:sz="4" w:space="0"/>
            </w:tcBorders>
            <w:shd w:val="clear" w:color="auto" w:fill="auto"/>
            <w:vAlign w:val="center"/>
          </w:tcPr>
          <w:p w14:paraId="6073E4B4">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说明书或设备标签上规定的设备使用年限：≥10年。</w:t>
            </w:r>
          </w:p>
        </w:tc>
      </w:tr>
      <w:tr w14:paraId="06A7DF3A">
        <w:tblPrEx>
          <w:tblCellMar>
            <w:top w:w="0" w:type="dxa"/>
            <w:left w:w="108" w:type="dxa"/>
            <w:bottom w:w="0" w:type="dxa"/>
            <w:right w:w="108" w:type="dxa"/>
          </w:tblCellMar>
        </w:tblPrEx>
        <w:trPr>
          <w:trHeight w:val="406"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916F207">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244C6C5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478" w:type="dxa"/>
            <w:tcBorders>
              <w:top w:val="single" w:color="auto" w:sz="4" w:space="0"/>
              <w:left w:val="nil"/>
              <w:bottom w:val="single" w:color="auto" w:sz="4" w:space="0"/>
              <w:right w:val="single" w:color="auto" w:sz="4" w:space="0"/>
            </w:tcBorders>
            <w:shd w:val="clear" w:color="auto" w:fill="auto"/>
            <w:vAlign w:val="center"/>
          </w:tcPr>
          <w:p w14:paraId="52696D35">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24EACF64">
        <w:tblPrEx>
          <w:tblCellMar>
            <w:top w:w="0" w:type="dxa"/>
            <w:left w:w="108" w:type="dxa"/>
            <w:bottom w:w="0" w:type="dxa"/>
            <w:right w:w="108" w:type="dxa"/>
          </w:tblCellMar>
        </w:tblPrEx>
        <w:trPr>
          <w:trHeight w:val="406"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3A8786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3BDA262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478" w:type="dxa"/>
            <w:tcBorders>
              <w:top w:val="single" w:color="auto" w:sz="4" w:space="0"/>
              <w:left w:val="nil"/>
              <w:bottom w:val="single" w:color="auto" w:sz="4" w:space="0"/>
              <w:right w:val="single" w:color="auto" w:sz="4" w:space="0"/>
            </w:tcBorders>
            <w:shd w:val="clear" w:color="auto" w:fill="auto"/>
            <w:vAlign w:val="center"/>
          </w:tcPr>
          <w:p w14:paraId="126AC907">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7E18E0C5">
        <w:tblPrEx>
          <w:tblCellMar>
            <w:top w:w="0" w:type="dxa"/>
            <w:left w:w="108" w:type="dxa"/>
            <w:bottom w:w="0" w:type="dxa"/>
            <w:right w:w="108" w:type="dxa"/>
          </w:tblCellMar>
        </w:tblPrEx>
        <w:trPr>
          <w:trHeight w:val="406"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94F068D">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73E6103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478" w:type="dxa"/>
            <w:tcBorders>
              <w:top w:val="single" w:color="auto" w:sz="4" w:space="0"/>
              <w:left w:val="nil"/>
              <w:bottom w:val="single" w:color="auto" w:sz="4" w:space="0"/>
              <w:right w:val="single" w:color="auto" w:sz="4" w:space="0"/>
            </w:tcBorders>
            <w:shd w:val="clear" w:color="auto" w:fill="auto"/>
            <w:vAlign w:val="center"/>
          </w:tcPr>
          <w:p w14:paraId="449E2CE6">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77808C58">
        <w:tblPrEx>
          <w:tblCellMar>
            <w:top w:w="0" w:type="dxa"/>
            <w:left w:w="108" w:type="dxa"/>
            <w:bottom w:w="0" w:type="dxa"/>
            <w:right w:w="108" w:type="dxa"/>
          </w:tblCellMar>
        </w:tblPrEx>
        <w:trPr>
          <w:trHeight w:val="406"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FD48CAD">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1C4E800A">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478" w:type="dxa"/>
            <w:tcBorders>
              <w:top w:val="single" w:color="auto" w:sz="4" w:space="0"/>
              <w:left w:val="nil"/>
              <w:bottom w:val="single" w:color="auto" w:sz="4" w:space="0"/>
              <w:right w:val="single" w:color="auto" w:sz="4" w:space="0"/>
            </w:tcBorders>
            <w:shd w:val="clear" w:color="auto" w:fill="auto"/>
            <w:vAlign w:val="center"/>
          </w:tcPr>
          <w:p w14:paraId="42F81486">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78C0221A">
        <w:tblPrEx>
          <w:tblCellMar>
            <w:top w:w="0" w:type="dxa"/>
            <w:left w:w="108" w:type="dxa"/>
            <w:bottom w:w="0" w:type="dxa"/>
            <w:right w:w="108" w:type="dxa"/>
          </w:tblCellMar>
        </w:tblPrEx>
        <w:trPr>
          <w:trHeight w:val="406"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EE5CC2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662CF2CA">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478" w:type="dxa"/>
            <w:tcBorders>
              <w:top w:val="single" w:color="auto" w:sz="4" w:space="0"/>
              <w:left w:val="nil"/>
              <w:bottom w:val="single" w:color="auto" w:sz="4" w:space="0"/>
              <w:right w:val="single" w:color="auto" w:sz="4" w:space="0"/>
            </w:tcBorders>
            <w:shd w:val="clear" w:color="auto" w:fill="auto"/>
            <w:vAlign w:val="center"/>
          </w:tcPr>
          <w:p w14:paraId="3B9DE19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203EE184">
        <w:tblPrEx>
          <w:tblCellMar>
            <w:top w:w="0" w:type="dxa"/>
            <w:left w:w="108" w:type="dxa"/>
            <w:bottom w:w="0" w:type="dxa"/>
            <w:right w:w="108" w:type="dxa"/>
          </w:tblCellMar>
        </w:tblPrEx>
        <w:trPr>
          <w:trHeight w:val="406" w:hRule="atLeast"/>
          <w:jc w:val="center"/>
        </w:trPr>
        <w:tc>
          <w:tcPr>
            <w:tcW w:w="896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AE4E7DE">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sz w:val="21"/>
                <w:szCs w:val="21"/>
                <w:lang w:val="en-US" w:eastAsia="zh-CN"/>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043A0469">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2.超声波治疗仪</w:t>
      </w:r>
    </w:p>
    <w:tbl>
      <w:tblPr>
        <w:tblStyle w:val="11"/>
        <w:tblW w:w="8963" w:type="dxa"/>
        <w:jc w:val="center"/>
        <w:tblLayout w:type="fixed"/>
        <w:tblCellMar>
          <w:top w:w="0" w:type="dxa"/>
          <w:left w:w="108" w:type="dxa"/>
          <w:bottom w:w="0" w:type="dxa"/>
          <w:right w:w="108" w:type="dxa"/>
        </w:tblCellMar>
      </w:tblPr>
      <w:tblGrid>
        <w:gridCol w:w="692"/>
        <w:gridCol w:w="791"/>
        <w:gridCol w:w="7480"/>
      </w:tblGrid>
      <w:tr w14:paraId="0ACA970D">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9946C86">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91" w:type="dxa"/>
            <w:tcBorders>
              <w:top w:val="single" w:color="auto" w:sz="4" w:space="0"/>
              <w:left w:val="nil"/>
              <w:bottom w:val="single" w:color="auto" w:sz="4" w:space="0"/>
              <w:right w:val="single" w:color="auto" w:sz="4" w:space="0"/>
            </w:tcBorders>
            <w:vAlign w:val="center"/>
          </w:tcPr>
          <w:p w14:paraId="28DC1F81">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480" w:type="dxa"/>
            <w:tcBorders>
              <w:top w:val="single" w:color="auto" w:sz="4" w:space="0"/>
              <w:left w:val="nil"/>
              <w:bottom w:val="single" w:color="auto" w:sz="4" w:space="0"/>
              <w:right w:val="single" w:color="auto" w:sz="4" w:space="0"/>
            </w:tcBorders>
            <w:vAlign w:val="center"/>
          </w:tcPr>
          <w:p w14:paraId="101355E6">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4EB2EC5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8D29D20">
            <w:pPr>
              <w:widowControl/>
              <w:spacing w:line="240" w:lineRule="auto"/>
              <w:jc w:val="center"/>
              <w:rPr>
                <w:rFonts w:hint="eastAsia" w:ascii="宋体" w:hAnsi="宋体" w:eastAsia="宋体" w:cs="宋体"/>
                <w:kern w:val="0"/>
                <w:sz w:val="21"/>
                <w:szCs w:val="21"/>
                <w:lang w:val="en-US" w:eastAsia="zh-CN" w:bidi="lo-LA"/>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03280D0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bidi="lo-LA"/>
              </w:rPr>
              <w:t>1</w:t>
            </w:r>
          </w:p>
        </w:tc>
        <w:tc>
          <w:tcPr>
            <w:tcW w:w="7480" w:type="dxa"/>
            <w:tcBorders>
              <w:top w:val="single" w:color="auto" w:sz="4" w:space="0"/>
              <w:left w:val="nil"/>
              <w:bottom w:val="single" w:color="auto" w:sz="4" w:space="0"/>
              <w:right w:val="single" w:color="auto" w:sz="4" w:space="0"/>
            </w:tcBorders>
            <w:vAlign w:val="center"/>
          </w:tcPr>
          <w:p w14:paraId="53BEF93D">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配置</w:t>
            </w:r>
            <w:r>
              <w:rPr>
                <w:rFonts w:hint="eastAsia" w:ascii="宋体" w:hAnsi="宋体" w:eastAsia="宋体" w:cs="宋体"/>
                <w:sz w:val="21"/>
                <w:szCs w:val="21"/>
              </w:rPr>
              <w:t>彩色TFT液晶触摸液晶屏，屏幕尺寸≥5.5英寸</w:t>
            </w:r>
            <w:r>
              <w:rPr>
                <w:rFonts w:hint="eastAsia" w:ascii="宋体" w:hAnsi="宋体" w:eastAsia="宋体" w:cs="宋体"/>
                <w:sz w:val="21"/>
                <w:szCs w:val="21"/>
                <w:lang w:eastAsia="zh-CN"/>
              </w:rPr>
              <w:t>。</w:t>
            </w:r>
          </w:p>
        </w:tc>
      </w:tr>
      <w:tr w14:paraId="4EC8BF2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6AB9F14">
            <w:pPr>
              <w:widowControl/>
              <w:spacing w:line="240" w:lineRule="auto"/>
              <w:jc w:val="center"/>
              <w:rPr>
                <w:rFonts w:hint="eastAsia" w:ascii="宋体" w:hAnsi="宋体" w:eastAsia="宋体" w:cs="宋体"/>
                <w:kern w:val="2"/>
                <w:sz w:val="21"/>
                <w:szCs w:val="21"/>
                <w:lang w:val="en-US" w:eastAsia="zh-CN" w:bidi="lo-LA"/>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3B50A22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bidi="lo-LA"/>
              </w:rPr>
              <w:t>2</w:t>
            </w:r>
          </w:p>
        </w:tc>
        <w:tc>
          <w:tcPr>
            <w:tcW w:w="7480" w:type="dxa"/>
            <w:tcBorders>
              <w:top w:val="single" w:color="auto" w:sz="4" w:space="0"/>
              <w:left w:val="nil"/>
              <w:bottom w:val="single" w:color="auto" w:sz="4" w:space="0"/>
              <w:right w:val="single" w:color="auto" w:sz="4" w:space="0"/>
            </w:tcBorders>
            <w:vAlign w:val="center"/>
          </w:tcPr>
          <w:p w14:paraId="53F60665">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电疗模块≥4通道</w:t>
            </w:r>
            <w:r>
              <w:rPr>
                <w:rFonts w:hint="eastAsia" w:ascii="宋体" w:hAnsi="宋体" w:eastAsia="宋体" w:cs="宋体"/>
                <w:sz w:val="21"/>
                <w:szCs w:val="21"/>
                <w:lang w:eastAsia="zh-CN"/>
              </w:rPr>
              <w:t>，</w:t>
            </w:r>
            <w:r>
              <w:rPr>
                <w:rFonts w:hint="eastAsia" w:ascii="宋体" w:hAnsi="宋体" w:eastAsia="宋体" w:cs="宋体"/>
                <w:sz w:val="21"/>
                <w:szCs w:val="21"/>
              </w:rPr>
              <w:t>超声模块≥2通道</w:t>
            </w:r>
            <w:r>
              <w:rPr>
                <w:rFonts w:hint="eastAsia" w:ascii="宋体" w:hAnsi="宋体" w:eastAsia="宋体" w:cs="宋体"/>
                <w:sz w:val="21"/>
                <w:szCs w:val="21"/>
                <w:lang w:eastAsia="zh-CN"/>
              </w:rPr>
              <w:t>。</w:t>
            </w:r>
          </w:p>
        </w:tc>
      </w:tr>
      <w:tr w14:paraId="0E22A66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D5C334E">
            <w:pPr>
              <w:widowControl/>
              <w:spacing w:line="240" w:lineRule="auto"/>
              <w:jc w:val="center"/>
              <w:rPr>
                <w:rFonts w:hint="eastAsia" w:ascii="宋体" w:hAnsi="宋体" w:eastAsia="宋体" w:cs="宋体"/>
                <w:kern w:val="2"/>
                <w:sz w:val="21"/>
                <w:szCs w:val="21"/>
                <w:lang w:val="en-US" w:eastAsia="zh-CN" w:bidi="lo-LA"/>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1447FBF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480" w:type="dxa"/>
            <w:tcBorders>
              <w:top w:val="single" w:color="auto" w:sz="4" w:space="0"/>
              <w:left w:val="nil"/>
              <w:bottom w:val="single" w:color="auto" w:sz="4" w:space="0"/>
              <w:right w:val="single" w:color="auto" w:sz="4" w:space="0"/>
            </w:tcBorders>
            <w:vAlign w:val="center"/>
          </w:tcPr>
          <w:p w14:paraId="1CF3BC36">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超声单头可实现1MHz和3MHz两种频率自由切换</w:t>
            </w:r>
            <w:r>
              <w:rPr>
                <w:rFonts w:hint="eastAsia" w:ascii="宋体" w:hAnsi="宋体" w:eastAsia="宋体" w:cs="宋体"/>
                <w:sz w:val="21"/>
                <w:szCs w:val="21"/>
                <w:lang w:eastAsia="zh-CN"/>
              </w:rPr>
              <w:t>。</w:t>
            </w:r>
          </w:p>
        </w:tc>
      </w:tr>
      <w:tr w14:paraId="621A1D1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1E5AD88">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kern w:val="0"/>
                <w:sz w:val="21"/>
                <w:szCs w:val="21"/>
                <w:lang w:bidi="lo-LA"/>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5BE3001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480" w:type="dxa"/>
            <w:tcBorders>
              <w:top w:val="single" w:color="auto" w:sz="4" w:space="0"/>
              <w:left w:val="nil"/>
              <w:bottom w:val="single" w:color="auto" w:sz="4" w:space="0"/>
              <w:right w:val="single" w:color="auto" w:sz="4" w:space="0"/>
            </w:tcBorders>
            <w:vAlign w:val="center"/>
          </w:tcPr>
          <w:p w14:paraId="787412FA">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超声占空比最低可调为5％，≥6种以上可选</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tc>
      </w:tr>
      <w:tr w14:paraId="5C10FBA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1683A13">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45D6E46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480" w:type="dxa"/>
            <w:tcBorders>
              <w:top w:val="single" w:color="auto" w:sz="4" w:space="0"/>
              <w:left w:val="nil"/>
              <w:bottom w:val="single" w:color="auto" w:sz="4" w:space="0"/>
              <w:right w:val="single" w:color="auto" w:sz="4" w:space="0"/>
            </w:tcBorders>
            <w:vAlign w:val="center"/>
          </w:tcPr>
          <w:p w14:paraId="4C915A05">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持续模式超声有效声强：0－2W/cm²；脉冲模式超声有效声强：0－3W/cm²</w:t>
            </w:r>
            <w:r>
              <w:rPr>
                <w:rFonts w:hint="eastAsia" w:ascii="宋体" w:hAnsi="宋体" w:eastAsia="宋体" w:cs="宋体"/>
                <w:sz w:val="21"/>
                <w:szCs w:val="21"/>
                <w:lang w:eastAsia="zh-CN"/>
              </w:rPr>
              <w:t>。</w:t>
            </w:r>
          </w:p>
        </w:tc>
      </w:tr>
      <w:tr w14:paraId="5384CC7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DADD7B3">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vAlign w:val="center"/>
          </w:tcPr>
          <w:p w14:paraId="696FF94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480" w:type="dxa"/>
            <w:tcBorders>
              <w:top w:val="single" w:color="auto" w:sz="4" w:space="0"/>
              <w:left w:val="nil"/>
              <w:bottom w:val="single" w:color="auto" w:sz="4" w:space="0"/>
              <w:right w:val="single" w:color="auto" w:sz="4" w:space="0"/>
            </w:tcBorders>
            <w:vAlign w:val="center"/>
          </w:tcPr>
          <w:p w14:paraId="1CB547DC">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超声最低单位调节值</w:t>
            </w:r>
            <w:r>
              <w:rPr>
                <w:rFonts w:hint="eastAsia" w:ascii="宋体" w:hAnsi="宋体" w:eastAsia="宋体" w:cs="宋体"/>
                <w:sz w:val="21"/>
                <w:szCs w:val="21"/>
                <w:lang w:val="en-US" w:eastAsia="zh-CN"/>
              </w:rPr>
              <w:t>≤</w:t>
            </w:r>
            <w:r>
              <w:rPr>
                <w:rFonts w:hint="eastAsia" w:ascii="宋体" w:hAnsi="宋体" w:eastAsia="宋体" w:cs="宋体"/>
                <w:sz w:val="21"/>
                <w:szCs w:val="21"/>
              </w:rPr>
              <w:t>0.1W/cm²，可开展低强度脉冲式超声治疗</w:t>
            </w:r>
            <w:r>
              <w:rPr>
                <w:rFonts w:hint="eastAsia" w:ascii="宋体" w:hAnsi="宋体" w:eastAsia="宋体" w:cs="宋体"/>
                <w:sz w:val="21"/>
                <w:szCs w:val="21"/>
                <w:lang w:eastAsia="zh-CN"/>
              </w:rPr>
              <w:t>。</w:t>
            </w:r>
          </w:p>
        </w:tc>
      </w:tr>
      <w:tr w14:paraId="7390B4B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B6BC46C">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2369486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480" w:type="dxa"/>
            <w:tcBorders>
              <w:top w:val="single" w:color="auto" w:sz="4" w:space="0"/>
              <w:left w:val="nil"/>
              <w:bottom w:val="single" w:color="auto" w:sz="4" w:space="0"/>
              <w:right w:val="single" w:color="auto" w:sz="4" w:space="0"/>
            </w:tcBorders>
            <w:vAlign w:val="center"/>
          </w:tcPr>
          <w:p w14:paraId="49601BAC">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治疗过程实时动态显示超声剂量，方便医师监控治疗过程</w:t>
            </w:r>
            <w:r>
              <w:rPr>
                <w:rFonts w:hint="eastAsia" w:ascii="宋体" w:hAnsi="宋体" w:eastAsia="宋体" w:cs="宋体"/>
                <w:sz w:val="21"/>
                <w:szCs w:val="21"/>
                <w:lang w:eastAsia="zh-CN"/>
              </w:rPr>
              <w:t>。</w:t>
            </w:r>
          </w:p>
        </w:tc>
      </w:tr>
      <w:tr w14:paraId="5D4D8D5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B7BBB2A">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5C9122A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480" w:type="dxa"/>
            <w:tcBorders>
              <w:top w:val="single" w:color="auto" w:sz="4" w:space="0"/>
              <w:left w:val="nil"/>
              <w:bottom w:val="single" w:color="auto" w:sz="4" w:space="0"/>
              <w:right w:val="single" w:color="auto" w:sz="4" w:space="0"/>
            </w:tcBorders>
            <w:vAlign w:val="center"/>
          </w:tcPr>
          <w:p w14:paraId="35A58AE3">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具有防空载保护功能，治疗头接触面不充分时，治疗头灯圈亮，设备治疗强度和时间停止</w:t>
            </w:r>
            <w:r>
              <w:rPr>
                <w:rFonts w:hint="eastAsia" w:ascii="宋体" w:hAnsi="宋体" w:eastAsia="宋体" w:cs="宋体"/>
                <w:sz w:val="21"/>
                <w:szCs w:val="21"/>
                <w:lang w:eastAsia="zh-CN"/>
              </w:rPr>
              <w:t>。</w:t>
            </w:r>
          </w:p>
        </w:tc>
      </w:tr>
      <w:tr w14:paraId="4D6E0C9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3CF2998">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vAlign w:val="center"/>
          </w:tcPr>
          <w:p w14:paraId="15C00E2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480" w:type="dxa"/>
            <w:tcBorders>
              <w:top w:val="single" w:color="auto" w:sz="4" w:space="0"/>
              <w:left w:val="nil"/>
              <w:bottom w:val="single" w:color="auto" w:sz="4" w:space="0"/>
              <w:right w:val="single" w:color="auto" w:sz="4" w:space="0"/>
            </w:tcBorders>
            <w:vAlign w:val="center"/>
          </w:tcPr>
          <w:p w14:paraId="1467E655">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波束不均匀系数</w:t>
            </w:r>
            <w:r>
              <w:rPr>
                <w:rFonts w:hint="eastAsia" w:ascii="宋体" w:hAnsi="宋体" w:eastAsia="宋体" w:cs="宋体"/>
                <w:sz w:val="21"/>
                <w:szCs w:val="21"/>
                <w:lang w:val="en-US" w:eastAsia="zh-CN"/>
              </w:rPr>
              <w:t>≤4。</w:t>
            </w:r>
          </w:p>
        </w:tc>
      </w:tr>
      <w:tr w14:paraId="7DC73BB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95CDFFB">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784A283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480" w:type="dxa"/>
            <w:tcBorders>
              <w:top w:val="single" w:color="auto" w:sz="4" w:space="0"/>
              <w:left w:val="nil"/>
              <w:bottom w:val="single" w:color="auto" w:sz="4" w:space="0"/>
              <w:right w:val="single" w:color="auto" w:sz="4" w:space="0"/>
            </w:tcBorders>
            <w:vAlign w:val="center"/>
          </w:tcPr>
          <w:p w14:paraId="01DCA4CB">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应有</w:t>
            </w:r>
            <w:r>
              <w:rPr>
                <w:rFonts w:hint="eastAsia" w:ascii="宋体" w:hAnsi="宋体" w:eastAsia="宋体" w:cs="宋体"/>
                <w:sz w:val="21"/>
                <w:szCs w:val="21"/>
              </w:rPr>
              <w:t>吸附超声治疗头</w:t>
            </w:r>
            <w:r>
              <w:rPr>
                <w:rFonts w:hint="eastAsia" w:ascii="宋体" w:hAnsi="宋体" w:eastAsia="宋体" w:cs="宋体"/>
                <w:sz w:val="21"/>
                <w:szCs w:val="21"/>
                <w:lang w:val="en-US" w:eastAsia="zh-CN"/>
              </w:rPr>
              <w:t>供选</w:t>
            </w:r>
            <w:r>
              <w:rPr>
                <w:rFonts w:hint="eastAsia" w:ascii="宋体" w:hAnsi="宋体" w:eastAsia="宋体" w:cs="宋体"/>
                <w:sz w:val="21"/>
                <w:szCs w:val="21"/>
              </w:rPr>
              <w:t>，能够固定在治疗部位，无需手持</w:t>
            </w:r>
            <w:r>
              <w:rPr>
                <w:rFonts w:hint="eastAsia" w:ascii="宋体" w:hAnsi="宋体" w:eastAsia="宋体" w:cs="宋体"/>
                <w:sz w:val="21"/>
                <w:szCs w:val="21"/>
                <w:lang w:eastAsia="zh-CN"/>
              </w:rPr>
              <w:t>。</w:t>
            </w:r>
          </w:p>
        </w:tc>
      </w:tr>
      <w:tr w14:paraId="2C26894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798970E">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7C9F1FE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480" w:type="dxa"/>
            <w:tcBorders>
              <w:top w:val="single" w:color="auto" w:sz="4" w:space="0"/>
              <w:left w:val="nil"/>
              <w:bottom w:val="single" w:color="auto" w:sz="4" w:space="0"/>
              <w:right w:val="single" w:color="auto" w:sz="4" w:space="0"/>
            </w:tcBorders>
            <w:vAlign w:val="center"/>
          </w:tcPr>
          <w:p w14:paraId="72756805">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电疗模块具有四极干扰电、预调制电流、等平面向量干扰电、手动两极干扰电、俄式电流、微电流、高压电、直流电、感应电、经皮神经电刺激、间动电流等电流</w:t>
            </w:r>
            <w:r>
              <w:rPr>
                <w:rFonts w:hint="eastAsia" w:ascii="宋体" w:hAnsi="宋体" w:eastAsia="宋体" w:cs="宋体"/>
                <w:sz w:val="21"/>
                <w:szCs w:val="21"/>
                <w:lang w:val="en-US" w:eastAsia="zh-CN"/>
              </w:rPr>
              <w:t>模式。</w:t>
            </w:r>
          </w:p>
        </w:tc>
      </w:tr>
      <w:tr w14:paraId="43BE7AD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C124E8B">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vAlign w:val="center"/>
          </w:tcPr>
          <w:p w14:paraId="7D114D9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480" w:type="dxa"/>
            <w:tcBorders>
              <w:top w:val="single" w:color="auto" w:sz="4" w:space="0"/>
              <w:left w:val="nil"/>
              <w:bottom w:val="single" w:color="auto" w:sz="4" w:space="0"/>
              <w:right w:val="single" w:color="auto" w:sz="4" w:space="0"/>
            </w:tcBorders>
            <w:vAlign w:val="center"/>
          </w:tcPr>
          <w:p w14:paraId="77FC3628">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同时配有</w:t>
            </w:r>
            <w:r>
              <w:rPr>
                <w:rFonts w:hint="eastAsia" w:ascii="宋体" w:hAnsi="宋体" w:eastAsia="宋体" w:cs="宋体"/>
                <w:sz w:val="21"/>
                <w:szCs w:val="21"/>
                <w:lang w:val="en-US" w:eastAsia="zh-CN"/>
              </w:rPr>
              <w:t>贴片</w:t>
            </w:r>
            <w:r>
              <w:rPr>
                <w:rFonts w:hint="eastAsia" w:ascii="宋体" w:hAnsi="宋体" w:eastAsia="宋体" w:cs="宋体"/>
                <w:sz w:val="21"/>
                <w:szCs w:val="21"/>
              </w:rPr>
              <w:t>电极、吸附碗电极和橡胶板式电极，可自由选择使用</w:t>
            </w:r>
            <w:r>
              <w:rPr>
                <w:rFonts w:hint="eastAsia" w:ascii="宋体" w:hAnsi="宋体" w:eastAsia="宋体" w:cs="宋体"/>
                <w:sz w:val="21"/>
                <w:szCs w:val="21"/>
                <w:lang w:eastAsia="zh-CN"/>
              </w:rPr>
              <w:t>。</w:t>
            </w:r>
          </w:p>
        </w:tc>
      </w:tr>
      <w:tr w14:paraId="0270BAD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BC28D3C">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0300722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480" w:type="dxa"/>
            <w:tcBorders>
              <w:top w:val="single" w:color="auto" w:sz="4" w:space="0"/>
              <w:left w:val="nil"/>
              <w:bottom w:val="single" w:color="auto" w:sz="4" w:space="0"/>
              <w:right w:val="single" w:color="auto" w:sz="4" w:space="0"/>
            </w:tcBorders>
            <w:vAlign w:val="center"/>
          </w:tcPr>
          <w:p w14:paraId="041AAF6F">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预调制电流：载波：2-10KHz；差频：0-140Hz；频率调制：0-150Hz；调制程序≥4种；有浪涌程序；电流范围0-100mA</w:t>
            </w:r>
            <w:r>
              <w:rPr>
                <w:rFonts w:hint="eastAsia" w:ascii="宋体" w:hAnsi="宋体" w:eastAsia="宋体" w:cs="宋体"/>
                <w:sz w:val="21"/>
                <w:szCs w:val="21"/>
                <w:lang w:eastAsia="zh-CN"/>
              </w:rPr>
              <w:t>。</w:t>
            </w:r>
          </w:p>
        </w:tc>
      </w:tr>
      <w:tr w14:paraId="40367599">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5EE4BB8">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6D7C283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480" w:type="dxa"/>
            <w:tcBorders>
              <w:top w:val="single" w:color="auto" w:sz="4" w:space="0"/>
              <w:left w:val="nil"/>
              <w:bottom w:val="single" w:color="auto" w:sz="4" w:space="0"/>
              <w:right w:val="single" w:color="auto" w:sz="4" w:space="0"/>
            </w:tcBorders>
            <w:vAlign w:val="center"/>
          </w:tcPr>
          <w:p w14:paraId="3781EBF5">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俄式电流：载波：2-10Khz；调制频率：0-100Hz；占空比≥5种；有浪涌程序；电流范围0-100mA</w:t>
            </w:r>
            <w:r>
              <w:rPr>
                <w:rFonts w:hint="eastAsia" w:ascii="宋体" w:hAnsi="宋体" w:eastAsia="宋体" w:cs="宋体"/>
                <w:sz w:val="21"/>
                <w:szCs w:val="21"/>
                <w:lang w:eastAsia="zh-CN"/>
              </w:rPr>
              <w:t>。</w:t>
            </w:r>
          </w:p>
        </w:tc>
      </w:tr>
      <w:tr w14:paraId="0E7F651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B1D6332">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4B93C17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480" w:type="dxa"/>
            <w:tcBorders>
              <w:top w:val="single" w:color="auto" w:sz="4" w:space="0"/>
              <w:left w:val="nil"/>
              <w:bottom w:val="single" w:color="auto" w:sz="4" w:space="0"/>
              <w:right w:val="single" w:color="auto" w:sz="4" w:space="0"/>
            </w:tcBorders>
            <w:vAlign w:val="center"/>
          </w:tcPr>
          <w:p w14:paraId="6F912EA8">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等平面向量干扰电：载波：2-10KHz；差频：0-150Hz；频率调制：0-140Hz；调制程序≥4种；电流范围0-100mA</w:t>
            </w:r>
            <w:r>
              <w:rPr>
                <w:rFonts w:hint="eastAsia" w:ascii="宋体" w:hAnsi="宋体" w:eastAsia="宋体" w:cs="宋体"/>
                <w:sz w:val="21"/>
                <w:szCs w:val="21"/>
                <w:lang w:eastAsia="zh-CN"/>
              </w:rPr>
              <w:t>。</w:t>
            </w:r>
          </w:p>
        </w:tc>
      </w:tr>
      <w:tr w14:paraId="63DA0FC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6EFEEAC">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565C2AE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480" w:type="dxa"/>
            <w:tcBorders>
              <w:top w:val="single" w:color="auto" w:sz="4" w:space="0"/>
              <w:left w:val="nil"/>
              <w:bottom w:val="single" w:color="auto" w:sz="4" w:space="0"/>
              <w:right w:val="single" w:color="auto" w:sz="4" w:space="0"/>
            </w:tcBorders>
            <w:vAlign w:val="center"/>
          </w:tcPr>
          <w:p w14:paraId="61A95604">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双向对称脉冲电流：相位宽度：10-400μS；脉冲频率：1-140Hz；频率调制：1-180Hz；调制程序≥4种，有浪涌程序；电流范围0-130mA</w:t>
            </w:r>
            <w:r>
              <w:rPr>
                <w:rFonts w:hint="eastAsia" w:ascii="宋体" w:hAnsi="宋体" w:eastAsia="宋体" w:cs="宋体"/>
                <w:sz w:val="21"/>
                <w:szCs w:val="21"/>
                <w:lang w:eastAsia="zh-CN"/>
              </w:rPr>
              <w:t>。</w:t>
            </w:r>
          </w:p>
        </w:tc>
      </w:tr>
      <w:tr w14:paraId="74017F2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9E70CD8">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22C6C93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480" w:type="dxa"/>
            <w:tcBorders>
              <w:top w:val="single" w:color="auto" w:sz="4" w:space="0"/>
              <w:left w:val="nil"/>
              <w:bottom w:val="single" w:color="auto" w:sz="4" w:space="0"/>
              <w:right w:val="single" w:color="auto" w:sz="4" w:space="0"/>
            </w:tcBorders>
            <w:vAlign w:val="center"/>
          </w:tcPr>
          <w:p w14:paraId="411A83FD">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可实现电疗和超声联合治疗</w:t>
            </w:r>
            <w:r>
              <w:rPr>
                <w:rFonts w:hint="eastAsia" w:ascii="宋体" w:hAnsi="宋体" w:eastAsia="宋体" w:cs="宋体"/>
                <w:sz w:val="21"/>
                <w:szCs w:val="21"/>
                <w:lang w:eastAsia="zh-CN"/>
              </w:rPr>
              <w:t>。</w:t>
            </w:r>
          </w:p>
        </w:tc>
      </w:tr>
      <w:tr w14:paraId="71C621F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E3257D6">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36F3DFC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480" w:type="dxa"/>
            <w:tcBorders>
              <w:top w:val="single" w:color="auto" w:sz="4" w:space="0"/>
              <w:left w:val="nil"/>
              <w:bottom w:val="single" w:color="auto" w:sz="4" w:space="0"/>
              <w:right w:val="single" w:color="auto" w:sz="4" w:space="0"/>
            </w:tcBorders>
            <w:vAlign w:val="center"/>
          </w:tcPr>
          <w:p w14:paraId="5B10ED0B">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内置处方数量≥60个，且治疗处方中</w:t>
            </w:r>
            <w:r>
              <w:rPr>
                <w:rFonts w:hint="eastAsia" w:ascii="宋体" w:hAnsi="宋体" w:eastAsia="宋体" w:cs="宋体"/>
                <w:sz w:val="21"/>
                <w:szCs w:val="21"/>
                <w:lang w:val="en-US" w:eastAsia="zh-CN"/>
              </w:rPr>
              <w:t>应</w:t>
            </w:r>
            <w:r>
              <w:rPr>
                <w:rFonts w:hint="eastAsia" w:ascii="宋体" w:hAnsi="宋体" w:eastAsia="宋体" w:cs="宋体"/>
                <w:sz w:val="21"/>
                <w:szCs w:val="21"/>
              </w:rPr>
              <w:t>附有人体解剖图、彩图和文字信息治疗指南</w:t>
            </w:r>
            <w:r>
              <w:rPr>
                <w:rFonts w:hint="eastAsia" w:ascii="宋体" w:hAnsi="宋体" w:eastAsia="宋体" w:cs="宋体"/>
                <w:sz w:val="21"/>
                <w:szCs w:val="21"/>
                <w:lang w:eastAsia="zh-CN"/>
              </w:rPr>
              <w:t>。</w:t>
            </w:r>
          </w:p>
        </w:tc>
      </w:tr>
      <w:tr w14:paraId="1C0AD22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BF62FAA">
            <w:pPr>
              <w:widowControl/>
              <w:spacing w:line="240" w:lineRule="auto"/>
              <w:jc w:val="center"/>
              <w:rPr>
                <w:rFonts w:hint="eastAsia" w:ascii="宋体" w:hAnsi="宋体" w:eastAsia="宋体" w:cs="宋体"/>
                <w:sz w:val="21"/>
                <w:szCs w:val="21"/>
                <w:lang w:bidi="lo-LA"/>
              </w:rPr>
            </w:pPr>
          </w:p>
        </w:tc>
        <w:tc>
          <w:tcPr>
            <w:tcW w:w="791" w:type="dxa"/>
            <w:tcBorders>
              <w:top w:val="single" w:color="auto" w:sz="4" w:space="0"/>
              <w:left w:val="nil"/>
              <w:bottom w:val="single" w:color="auto" w:sz="4" w:space="0"/>
              <w:right w:val="single" w:color="auto" w:sz="4" w:space="0"/>
            </w:tcBorders>
            <w:vAlign w:val="center"/>
          </w:tcPr>
          <w:p w14:paraId="4D48174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480" w:type="dxa"/>
            <w:tcBorders>
              <w:top w:val="single" w:color="auto" w:sz="4" w:space="0"/>
              <w:left w:val="nil"/>
              <w:bottom w:val="single" w:color="auto" w:sz="4" w:space="0"/>
              <w:right w:val="single" w:color="auto" w:sz="4" w:space="0"/>
            </w:tcBorders>
            <w:vAlign w:val="center"/>
          </w:tcPr>
          <w:p w14:paraId="7F66296F">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设备既可以直接连接网电源，也可以选装内部电源。</w:t>
            </w:r>
          </w:p>
        </w:tc>
      </w:tr>
      <w:tr w14:paraId="5E7B14E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51244D8">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vAlign w:val="center"/>
          </w:tcPr>
          <w:p w14:paraId="3897B0D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480" w:type="dxa"/>
            <w:tcBorders>
              <w:top w:val="single" w:color="auto" w:sz="4" w:space="0"/>
              <w:left w:val="nil"/>
              <w:bottom w:val="single" w:color="auto" w:sz="4" w:space="0"/>
              <w:right w:val="single" w:color="auto" w:sz="4" w:space="0"/>
            </w:tcBorders>
            <w:vAlign w:val="center"/>
          </w:tcPr>
          <w:p w14:paraId="56837330">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说明书或设备标签上规定的设备使用年限：≥10年</w:t>
            </w:r>
            <w:r>
              <w:rPr>
                <w:rFonts w:hint="eastAsia" w:ascii="宋体" w:hAnsi="宋体" w:eastAsia="宋体" w:cs="宋体"/>
                <w:sz w:val="21"/>
                <w:szCs w:val="21"/>
              </w:rPr>
              <w:t>。</w:t>
            </w:r>
          </w:p>
        </w:tc>
      </w:tr>
      <w:tr w14:paraId="75B27D3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820FA98">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1A18547F">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480" w:type="dxa"/>
            <w:tcBorders>
              <w:top w:val="single" w:color="auto" w:sz="4" w:space="0"/>
              <w:left w:val="nil"/>
              <w:bottom w:val="single" w:color="auto" w:sz="4" w:space="0"/>
              <w:right w:val="single" w:color="auto" w:sz="4" w:space="0"/>
            </w:tcBorders>
            <w:shd w:val="clear" w:color="auto" w:fill="auto"/>
            <w:vAlign w:val="center"/>
          </w:tcPr>
          <w:p w14:paraId="33A16179">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2183445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B9EFF1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335101AC">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480" w:type="dxa"/>
            <w:tcBorders>
              <w:top w:val="single" w:color="auto" w:sz="4" w:space="0"/>
              <w:left w:val="nil"/>
              <w:bottom w:val="single" w:color="auto" w:sz="4" w:space="0"/>
              <w:right w:val="single" w:color="auto" w:sz="4" w:space="0"/>
            </w:tcBorders>
            <w:shd w:val="clear" w:color="auto" w:fill="auto"/>
            <w:vAlign w:val="center"/>
          </w:tcPr>
          <w:p w14:paraId="0067A85A">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405EA80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39302BD">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43FE0D20">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23</w:t>
            </w:r>
          </w:p>
        </w:tc>
        <w:tc>
          <w:tcPr>
            <w:tcW w:w="7480" w:type="dxa"/>
            <w:tcBorders>
              <w:top w:val="single" w:color="auto" w:sz="4" w:space="0"/>
              <w:left w:val="nil"/>
              <w:bottom w:val="single" w:color="auto" w:sz="4" w:space="0"/>
              <w:right w:val="single" w:color="auto" w:sz="4" w:space="0"/>
            </w:tcBorders>
            <w:shd w:val="clear" w:color="auto" w:fill="auto"/>
            <w:vAlign w:val="center"/>
          </w:tcPr>
          <w:p w14:paraId="219513BB">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0805062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C575915">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157962C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24</w:t>
            </w:r>
          </w:p>
        </w:tc>
        <w:tc>
          <w:tcPr>
            <w:tcW w:w="7480" w:type="dxa"/>
            <w:tcBorders>
              <w:top w:val="single" w:color="auto" w:sz="4" w:space="0"/>
              <w:left w:val="nil"/>
              <w:bottom w:val="single" w:color="auto" w:sz="4" w:space="0"/>
              <w:right w:val="single" w:color="auto" w:sz="4" w:space="0"/>
            </w:tcBorders>
            <w:shd w:val="clear" w:color="auto" w:fill="auto"/>
            <w:vAlign w:val="center"/>
          </w:tcPr>
          <w:p w14:paraId="6D8B5746">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02F1C0B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EFB768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7D45DC2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25</w:t>
            </w:r>
          </w:p>
        </w:tc>
        <w:tc>
          <w:tcPr>
            <w:tcW w:w="7480" w:type="dxa"/>
            <w:tcBorders>
              <w:top w:val="single" w:color="auto" w:sz="4" w:space="0"/>
              <w:left w:val="nil"/>
              <w:bottom w:val="single" w:color="auto" w:sz="4" w:space="0"/>
              <w:right w:val="single" w:color="auto" w:sz="4" w:space="0"/>
            </w:tcBorders>
            <w:shd w:val="clear" w:color="auto" w:fill="auto"/>
            <w:vAlign w:val="center"/>
          </w:tcPr>
          <w:p w14:paraId="1AF51F2D">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78C76C0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4584876">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91" w:type="dxa"/>
            <w:tcBorders>
              <w:top w:val="single" w:color="auto" w:sz="4" w:space="0"/>
              <w:left w:val="nil"/>
              <w:bottom w:val="single" w:color="auto" w:sz="4" w:space="0"/>
              <w:right w:val="single" w:color="auto" w:sz="4" w:space="0"/>
            </w:tcBorders>
            <w:shd w:val="clear" w:color="auto" w:fill="auto"/>
            <w:vAlign w:val="center"/>
          </w:tcPr>
          <w:p w14:paraId="4C76F1A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26</w:t>
            </w:r>
          </w:p>
        </w:tc>
        <w:tc>
          <w:tcPr>
            <w:tcW w:w="7480" w:type="dxa"/>
            <w:tcBorders>
              <w:top w:val="single" w:color="auto" w:sz="4" w:space="0"/>
              <w:left w:val="nil"/>
              <w:bottom w:val="single" w:color="auto" w:sz="4" w:space="0"/>
              <w:right w:val="single" w:color="auto" w:sz="4" w:space="0"/>
            </w:tcBorders>
            <w:shd w:val="clear" w:color="auto" w:fill="auto"/>
            <w:vAlign w:val="center"/>
          </w:tcPr>
          <w:p w14:paraId="0348D363">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15879ECE">
        <w:tblPrEx>
          <w:tblCellMar>
            <w:top w:w="0" w:type="dxa"/>
            <w:left w:w="108" w:type="dxa"/>
            <w:bottom w:w="0" w:type="dxa"/>
            <w:right w:w="108" w:type="dxa"/>
          </w:tblCellMar>
        </w:tblPrEx>
        <w:trPr>
          <w:trHeight w:val="365" w:hRule="atLeast"/>
          <w:jc w:val="center"/>
        </w:trPr>
        <w:tc>
          <w:tcPr>
            <w:tcW w:w="896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6085746">
            <w:pPr>
              <w:widowControl/>
              <w:spacing w:line="240" w:lineRule="auto"/>
              <w:jc w:val="left"/>
              <w:rPr>
                <w:rFonts w:hint="eastAsia" w:ascii="宋体" w:hAnsi="宋体" w:eastAsia="宋体" w:cs="宋体"/>
                <w:sz w:val="21"/>
                <w:szCs w:val="21"/>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063D04D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024D38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F21AB7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4870EE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7A2DCE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5F70E2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4057CA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B262A6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7FE74E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4BE169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20FDF7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7171AF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BB8AF33">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BB2BC7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8BEFE8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BAFFEF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57DC9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1"/>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 xml:space="preserve">1、报价得分 </w:t>
            </w:r>
            <w:r>
              <w:rPr>
                <w:rFonts w:hint="eastAsia" w:ascii="宋体" w:hAnsi="宋体" w:eastAsia="宋体"/>
                <w:b w:val="0"/>
                <w:w w:val="100"/>
                <w:sz w:val="21"/>
                <w:lang w:val="en-US" w:eastAsia="zh-CN"/>
              </w:rPr>
              <w:t>54</w:t>
            </w:r>
            <w:r>
              <w:rPr>
                <w:rFonts w:ascii="宋体" w:hAnsi="宋体" w:eastAsia="宋体"/>
                <w:b w:val="0"/>
                <w:w w:val="100"/>
                <w:sz w:val="21"/>
              </w:rPr>
              <w:t>分；</w:t>
            </w:r>
          </w:p>
          <w:p w14:paraId="3CD5DD68">
            <w:pPr>
              <w:widowControl/>
              <w:autoSpaceDE/>
              <w:autoSpaceDN/>
              <w:snapToGrid/>
              <w:spacing w:before="0" w:after="0" w:line="240" w:lineRule="auto"/>
              <w:ind w:left="0" w:firstLine="0"/>
              <w:jc w:val="left"/>
              <w:rPr>
                <w:rFonts w:ascii="宋体" w:hAnsi="Calibri" w:eastAsia="宋体"/>
                <w:b w:val="0"/>
                <w:w w:val="100"/>
                <w:sz w:val="21"/>
              </w:rPr>
            </w:pPr>
            <w:r>
              <w:rPr>
                <w:rFonts w:hint="eastAsia" w:ascii="宋体" w:hAnsi="宋体" w:eastAsia="宋体"/>
                <w:b w:val="0"/>
                <w:w w:val="100"/>
                <w:sz w:val="21"/>
                <w:lang w:val="en-US" w:eastAsia="zh-CN"/>
              </w:rPr>
              <w:t>2</w:t>
            </w:r>
            <w:r>
              <w:rPr>
                <w:rFonts w:ascii="宋体" w:hAnsi="宋体" w:eastAsia="宋体"/>
                <w:b w:val="0"/>
                <w:w w:val="100"/>
                <w:sz w:val="21"/>
              </w:rPr>
              <w:t>、技术部分 </w:t>
            </w:r>
            <w:r>
              <w:rPr>
                <w:rFonts w:hint="eastAsia" w:ascii="宋体" w:hAnsi="宋体" w:eastAsia="宋体"/>
                <w:b w:val="0"/>
                <w:w w:val="100"/>
                <w:sz w:val="21"/>
                <w:lang w:val="en-US" w:eastAsia="zh-CN"/>
              </w:rPr>
              <w:t>46</w:t>
            </w:r>
            <w:r>
              <w:rPr>
                <w:rFonts w:ascii="宋体" w:hAnsi="宋体" w:eastAsia="宋体"/>
                <w:b w:val="0"/>
                <w:w w:val="100"/>
                <w:sz w:val="21"/>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满足招标文件要求通过初步评审的且投标报价最低的为评标基准价。</w:t>
            </w:r>
          </w:p>
        </w:tc>
      </w:tr>
      <w:tr w14:paraId="239BE73C">
        <w:tblPrEx>
          <w:tblCellMar>
            <w:top w:w="0" w:type="dxa"/>
            <w:left w:w="0" w:type="dxa"/>
            <w:bottom w:w="0" w:type="dxa"/>
            <w:right w:w="0" w:type="dxa"/>
          </w:tblCellMar>
        </w:tblPrEx>
        <w:trPr>
          <w:trHeight w:val="1392"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1"/>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1"/>
              </w:rPr>
            </w:pPr>
            <w:r>
              <w:rPr>
                <w:rFonts w:ascii="宋体" w:hAnsi="宋体" w:eastAsia="宋体"/>
                <w:b w:val="0"/>
                <w:w w:val="100"/>
                <w:sz w:val="21"/>
              </w:rPr>
              <w:t>投标报价得分（</w:t>
            </w:r>
            <w:r>
              <w:rPr>
                <w:rFonts w:hint="eastAsia" w:ascii="宋体" w:hAnsi="宋体" w:eastAsia="宋体"/>
                <w:b w:val="0"/>
                <w:w w:val="100"/>
                <w:sz w:val="21"/>
                <w:lang w:val="en-US" w:eastAsia="zh-CN"/>
              </w:rPr>
              <w:t>54</w:t>
            </w:r>
            <w:r>
              <w:rPr>
                <w:rFonts w:ascii="宋体" w:hAnsi="宋体" w:eastAsia="宋体"/>
                <w:b w:val="0"/>
                <w:w w:val="100"/>
                <w:sz w:val="21"/>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hint="default" w:ascii="宋体" w:hAnsi="Calibri" w:eastAsia="宋体"/>
                <w:b w:val="0"/>
                <w:w w:val="100"/>
                <w:sz w:val="21"/>
                <w:lang w:val="en-US"/>
              </w:rPr>
            </w:pPr>
            <w:r>
              <w:rPr>
                <w:rFonts w:ascii="宋体" w:hAnsi="宋体" w:eastAsia="宋体"/>
                <w:b w:val="0"/>
                <w:w w:val="100"/>
                <w:sz w:val="21"/>
              </w:rPr>
              <w:t>投标报价得分＝（评标基准价/投标报价）×</w:t>
            </w:r>
            <w:r>
              <w:rPr>
                <w:rFonts w:hint="eastAsia" w:ascii="宋体" w:hAnsi="宋体" w:eastAsia="宋体"/>
                <w:b w:val="0"/>
                <w:w w:val="100"/>
                <w:sz w:val="21"/>
                <w:lang w:val="en-US" w:eastAsia="zh-CN"/>
              </w:rPr>
              <w:t>54</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1"/>
              </w:rPr>
            </w:pPr>
            <w:r>
              <w:rPr>
                <w:rFonts w:ascii="宋体" w:hAnsi="宋体" w:eastAsia="宋体"/>
                <w:b w:val="0"/>
                <w:w w:val="100"/>
                <w:sz w:val="21"/>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1"/>
              </w:rPr>
            </w:pPr>
            <w:r>
              <w:rPr>
                <w:rFonts w:ascii="宋体" w:hAnsi="宋体" w:eastAsia="宋体"/>
                <w:b w:val="0"/>
                <w:color w:val="auto"/>
                <w:w w:val="100"/>
                <w:sz w:val="21"/>
              </w:rPr>
              <w:t>一般技术参数（</w:t>
            </w:r>
            <w:r>
              <w:rPr>
                <w:rFonts w:hint="eastAsia" w:ascii="宋体" w:hAnsi="宋体" w:eastAsia="宋体"/>
                <w:b w:val="0"/>
                <w:color w:val="auto"/>
                <w:w w:val="100"/>
                <w:sz w:val="21"/>
                <w:lang w:val="en-US" w:eastAsia="zh-CN"/>
              </w:rPr>
              <w:t>非</w:t>
            </w:r>
            <w:r>
              <w:rPr>
                <w:rFonts w:ascii="宋体" w:hAnsi="宋体" w:eastAsia="宋体"/>
                <w:b w:val="0"/>
                <w:color w:val="auto"/>
                <w:w w:val="100"/>
                <w:sz w:val="21"/>
              </w:rPr>
              <w:t>标“</w:t>
            </w:r>
            <w:r>
              <w:rPr>
                <w:rFonts w:hint="eastAsia" w:ascii="宋体" w:hAnsi="宋体" w:eastAsia="宋体" w:cs="宋体"/>
                <w:kern w:val="0"/>
                <w:sz w:val="21"/>
                <w:szCs w:val="21"/>
              </w:rPr>
              <w:t>★</w:t>
            </w:r>
            <w:r>
              <w:rPr>
                <w:rFonts w:hint="eastAsia" w:ascii="宋体" w:hAnsi="宋体" w:eastAsia="宋体"/>
                <w:b w:val="0"/>
                <w:color w:val="auto"/>
                <w:w w:val="100"/>
                <w:sz w:val="21"/>
                <w:lang w:val="en-US" w:eastAsia="zh-CN"/>
              </w:rPr>
              <w:t>”</w:t>
            </w:r>
            <w:r>
              <w:rPr>
                <w:rFonts w:ascii="宋体" w:hAnsi="宋体" w:eastAsia="宋体"/>
                <w:b w:val="0"/>
                <w:color w:val="auto"/>
                <w:w w:val="100"/>
                <w:sz w:val="21"/>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1"/>
                <w:szCs w:val="22"/>
                <w:lang w:val="en-US" w:eastAsia="zh-CN" w:bidi="ar-SA"/>
              </w:rPr>
            </w:pPr>
            <w:r>
              <w:rPr>
                <w:rFonts w:ascii="宋体" w:hAnsi="宋体" w:eastAsia="宋体"/>
                <w:b w:val="0"/>
                <w:color w:val="auto"/>
                <w:w w:val="100"/>
                <w:sz w:val="21"/>
              </w:rPr>
              <w:t>（</w:t>
            </w:r>
            <w:r>
              <w:rPr>
                <w:rFonts w:hint="eastAsia" w:ascii="宋体" w:hAnsi="宋体" w:eastAsia="宋体"/>
                <w:b w:val="0"/>
                <w:color w:val="auto"/>
                <w:w w:val="100"/>
                <w:sz w:val="21"/>
                <w:lang w:val="en-US" w:eastAsia="zh-CN"/>
              </w:rPr>
              <w:t>46</w:t>
            </w:r>
            <w:r>
              <w:rPr>
                <w:rFonts w:ascii="宋体" w:hAnsi="宋体" w:eastAsia="宋体"/>
                <w:b w:val="0"/>
                <w:color w:val="auto"/>
                <w:w w:val="100"/>
                <w:sz w:val="21"/>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DB3C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1"/>
                <w:szCs w:val="22"/>
                <w:lang w:val="en-US" w:eastAsia="zh-CN" w:bidi="ar-SA"/>
              </w:rPr>
            </w:pPr>
            <w:r>
              <w:rPr>
                <w:rFonts w:ascii="宋体" w:hAnsi="宋体" w:eastAsia="宋体"/>
                <w:b w:val="0"/>
                <w:w w:val="100"/>
                <w:sz w:val="21"/>
              </w:rPr>
              <w:t>所有产品一般技术参数指标（非</w:t>
            </w:r>
            <w:r>
              <w:rPr>
                <w:rFonts w:hint="eastAsia" w:ascii="宋体" w:hAnsi="宋体" w:eastAsia="宋体"/>
                <w:b w:val="0"/>
                <w:w w:val="100"/>
                <w:sz w:val="21"/>
                <w:lang w:val="en-US" w:eastAsia="zh-CN"/>
              </w:rPr>
              <w:t>标</w:t>
            </w:r>
            <w:r>
              <w:rPr>
                <w:rFonts w:ascii="宋体" w:hAnsi="宋体" w:eastAsia="宋体"/>
                <w:b w:val="0"/>
                <w:w w:val="100"/>
                <w:sz w:val="21"/>
              </w:rPr>
              <w:t>“</w:t>
            </w:r>
            <w:r>
              <w:rPr>
                <w:rFonts w:hint="eastAsia" w:ascii="宋体" w:hAnsi="宋体" w:eastAsia="宋体" w:cs="宋体"/>
                <w:kern w:val="0"/>
                <w:sz w:val="21"/>
                <w:szCs w:val="21"/>
              </w:rPr>
              <w:t>★</w:t>
            </w:r>
            <w:r>
              <w:rPr>
                <w:rFonts w:hint="eastAsia" w:ascii="宋体" w:hAnsi="宋体" w:eastAsia="宋体"/>
                <w:b w:val="0"/>
                <w:w w:val="100"/>
                <w:sz w:val="21"/>
                <w:lang w:val="en-US" w:eastAsia="zh-CN"/>
              </w:rPr>
              <w:t>”</w:t>
            </w:r>
            <w:r>
              <w:rPr>
                <w:rFonts w:ascii="宋体" w:hAnsi="宋体" w:eastAsia="宋体"/>
                <w:b w:val="0"/>
                <w:w w:val="100"/>
                <w:sz w:val="21"/>
              </w:rPr>
              <w:t>项）</w:t>
            </w:r>
            <w:r>
              <w:rPr>
                <w:rFonts w:hint="eastAsia" w:ascii="宋体" w:hAnsi="宋体" w:eastAsia="宋体"/>
                <w:b w:val="0"/>
                <w:w w:val="100"/>
                <w:sz w:val="21"/>
                <w:lang w:val="en-US" w:eastAsia="zh-CN"/>
              </w:rPr>
              <w:t>共23项，完全响应</w:t>
            </w:r>
            <w:r>
              <w:rPr>
                <w:rFonts w:ascii="宋体" w:hAnsi="宋体" w:eastAsia="宋体"/>
                <w:b w:val="0"/>
                <w:w w:val="100"/>
                <w:sz w:val="21"/>
              </w:rPr>
              <w:t>招标文件要求的得</w:t>
            </w:r>
            <w:r>
              <w:rPr>
                <w:rFonts w:hint="eastAsia" w:ascii="宋体" w:hAnsi="宋体" w:eastAsia="宋体"/>
                <w:b w:val="0"/>
                <w:w w:val="100"/>
                <w:sz w:val="21"/>
                <w:lang w:val="en-US" w:eastAsia="zh-CN"/>
              </w:rPr>
              <w:t>46</w:t>
            </w:r>
            <w:r>
              <w:rPr>
                <w:rFonts w:ascii="宋体" w:hAnsi="宋体" w:eastAsia="宋体"/>
                <w:b w:val="0"/>
                <w:w w:val="100"/>
                <w:sz w:val="21"/>
              </w:rPr>
              <w:t>分，每有一项不满足或负偏离扣</w:t>
            </w:r>
            <w:r>
              <w:rPr>
                <w:rFonts w:hint="eastAsia" w:ascii="宋体" w:hAnsi="宋体" w:eastAsia="宋体"/>
                <w:b w:val="0"/>
                <w:w w:val="100"/>
                <w:sz w:val="21"/>
                <w:lang w:val="en-US" w:eastAsia="zh-CN"/>
              </w:rPr>
              <w:t>的2</w:t>
            </w:r>
            <w:r>
              <w:rPr>
                <w:rFonts w:ascii="宋体" w:hAnsi="宋体" w:eastAsia="宋体"/>
                <w:b w:val="0"/>
                <w:w w:val="100"/>
                <w:sz w:val="21"/>
              </w:rPr>
              <w:t>分</w:t>
            </w:r>
            <w:r>
              <w:rPr>
                <w:rFonts w:hint="eastAsia" w:ascii="宋体" w:hAnsi="宋体" w:eastAsia="宋体"/>
                <w:b w:val="0"/>
                <w:w w:val="100"/>
                <w:sz w:val="21"/>
                <w:lang w:eastAsia="zh-CN"/>
              </w:rPr>
              <w:t>，</w:t>
            </w:r>
            <w:r>
              <w:rPr>
                <w:rFonts w:ascii="宋体" w:hAnsi="宋体" w:eastAsia="宋体"/>
                <w:b w:val="0"/>
                <w:w w:val="100"/>
                <w:sz w:val="21"/>
              </w:rPr>
              <w:t>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AC6963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（营业执照、资质证书、医疗器械注册证或备案凭证等复印件）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40D84367">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53AD613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sz w:val="28"/>
          <w:szCs w:val="28"/>
          <w:lang w:val="en-US" w:eastAsia="zh-CN"/>
        </w:rPr>
        <w:t>十八、其它</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49C7878"/>
    <w:rsid w:val="05076A5B"/>
    <w:rsid w:val="06816E75"/>
    <w:rsid w:val="06B07F83"/>
    <w:rsid w:val="07EE0F70"/>
    <w:rsid w:val="080A65A2"/>
    <w:rsid w:val="081B095A"/>
    <w:rsid w:val="08C1733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A783AB0"/>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5376F42"/>
    <w:rsid w:val="4603606C"/>
    <w:rsid w:val="469A594D"/>
    <w:rsid w:val="47C04769"/>
    <w:rsid w:val="486160DA"/>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3B70B6D"/>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7645</Words>
  <Characters>8626</Characters>
  <Lines>0</Lines>
  <Paragraphs>0</Paragraphs>
  <TotalTime>10</TotalTime>
  <ScaleCrop>false</ScaleCrop>
  <LinksUpToDate>false</LinksUpToDate>
  <CharactersWithSpaces>8929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2026-08-20T02:55:22Z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C2BA6A278F48473293F0DD830A4FE88A_13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