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0A8C3EE">
      <w:pPr>
        <w:numPr>
          <w:ilvl w:val="0"/>
          <w:numId w:val="0"/>
        </w:numPr>
        <w:jc w:val="center"/>
        <w:rPr>
          <w:rFonts w:hint="eastAsia" w:ascii="宋体" w:hAnsi="宋体" w:eastAsia="宋体" w:cs="宋体"/>
          <w:b/>
          <w:i w:val="0"/>
          <w:caps/>
          <w:color w:val="333333"/>
          <w:spacing w:val="0"/>
          <w:sz w:val="36"/>
          <w:szCs w:val="36"/>
          <w:lang w:eastAsia="zh-CN"/>
        </w:rPr>
      </w:pPr>
      <w:bookmarkStart w:id="1" w:name="_GoBack"/>
      <w:r>
        <w:rPr>
          <w:rFonts w:hint="eastAsia" w:ascii="宋体" w:hAnsi="宋体" w:eastAsia="宋体" w:cs="宋体"/>
          <w:b/>
          <w:i w:val="0"/>
          <w:caps/>
          <w:color w:val="333333"/>
          <w:spacing w:val="0"/>
          <w:sz w:val="36"/>
          <w:szCs w:val="36"/>
          <w:lang w:val="en-US" w:eastAsia="zh-CN"/>
        </w:rPr>
        <w:t>血液成分离心机项目（三次）</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2026年8月27日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E37CC3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血液成分离心机</w:t>
            </w:r>
          </w:p>
        </w:tc>
        <w:tc>
          <w:tcPr>
            <w:tcW w:w="1200" w:type="dxa"/>
            <w:vAlign w:val="center"/>
          </w:tcPr>
          <w:p w14:paraId="569A97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535899A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70A9229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550000</w:t>
            </w:r>
          </w:p>
        </w:tc>
        <w:tc>
          <w:tcPr>
            <w:tcW w:w="1650" w:type="dxa"/>
            <w:vAlign w:val="center"/>
          </w:tcPr>
          <w:p w14:paraId="1D45D75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550000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BC628AE">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550000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721742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设备验收通过后支付总货款的 90% ，验收通过使用一年后支付总货款的 10% </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17B918F7">
      <w:pPr>
        <w:spacing w:line="360" w:lineRule="auto"/>
        <w:jc w:val="left"/>
        <w:rPr>
          <w:rFonts w:hint="eastAsia" w:ascii="宋体" w:hAnsi="宋体" w:eastAsia="宋体"/>
          <w:sz w:val="28"/>
          <w:szCs w:val="28"/>
          <w:u w:val="single"/>
        </w:rPr>
      </w:pPr>
      <w:r>
        <w:rPr>
          <w:rFonts w:hint="eastAsia" w:ascii="宋体" w:hAnsi="宋体" w:eastAsia="宋体"/>
          <w:sz w:val="28"/>
          <w:szCs w:val="28"/>
        </w:rPr>
        <w:t>（</w:t>
      </w:r>
      <w:r>
        <w:rPr>
          <w:rFonts w:hint="eastAsia" w:ascii="宋体" w:hAnsi="宋体" w:eastAsia="宋体"/>
          <w:sz w:val="28"/>
          <w:szCs w:val="28"/>
          <w:lang w:val="en-US" w:eastAsia="zh-CN"/>
        </w:rPr>
        <w:t>一</w:t>
      </w:r>
      <w:r>
        <w:rPr>
          <w:rFonts w:hint="eastAsia" w:ascii="宋体" w:hAnsi="宋体" w:eastAsia="宋体"/>
          <w:sz w:val="28"/>
          <w:szCs w:val="28"/>
        </w:rPr>
        <w:t>）项目基本情况介绍：</w:t>
      </w:r>
      <w:r>
        <w:rPr>
          <w:rFonts w:hint="eastAsia" w:ascii="宋体" w:hAnsi="宋体" w:eastAsia="宋体"/>
          <w:sz w:val="28"/>
          <w:szCs w:val="28"/>
          <w:u w:val="single"/>
        </w:rPr>
        <w:t xml:space="preserve"> </w:t>
      </w:r>
      <w:r>
        <w:rPr>
          <w:rFonts w:hint="eastAsia" w:ascii="宋体" w:hAnsi="宋体" w:eastAsia="宋体"/>
          <w:sz w:val="28"/>
          <w:szCs w:val="28"/>
          <w:u w:val="single"/>
          <w:lang w:val="en-US" w:eastAsia="zh-CN"/>
        </w:rPr>
        <w:t>本项目包含1台血液成分离心机，用于外周血干细胞采集，床旁血浆置换、白细胞单采、红细胞单采、血小板单采等相关血液疾病的治疗。</w:t>
      </w:r>
    </w:p>
    <w:p w14:paraId="3E5945CF">
      <w:pPr>
        <w:spacing w:line="360" w:lineRule="auto"/>
        <w:jc w:val="lef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545896E8">
      <w:p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1.血液成分离心机</w:t>
      </w:r>
    </w:p>
    <w:tbl>
      <w:tblPr>
        <w:tblStyle w:val="11"/>
        <w:tblW w:w="8503" w:type="dxa"/>
        <w:tblInd w:w="0" w:type="dxa"/>
        <w:tblLayout w:type="fixed"/>
        <w:tblCellMar>
          <w:top w:w="0" w:type="dxa"/>
          <w:left w:w="108" w:type="dxa"/>
          <w:bottom w:w="0" w:type="dxa"/>
          <w:right w:w="108" w:type="dxa"/>
        </w:tblCellMar>
      </w:tblPr>
      <w:tblGrid>
        <w:gridCol w:w="692"/>
        <w:gridCol w:w="983"/>
        <w:gridCol w:w="6828"/>
      </w:tblGrid>
      <w:tr w14:paraId="2E03CE56">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1006918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983" w:type="dxa"/>
            <w:tcBorders>
              <w:top w:val="single" w:color="auto" w:sz="4" w:space="0"/>
              <w:left w:val="nil"/>
              <w:bottom w:val="single" w:color="auto" w:sz="4" w:space="0"/>
              <w:right w:val="single" w:color="auto" w:sz="4" w:space="0"/>
            </w:tcBorders>
            <w:vAlign w:val="center"/>
          </w:tcPr>
          <w:p w14:paraId="287D3288">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6828" w:type="dxa"/>
            <w:tcBorders>
              <w:top w:val="single" w:color="auto" w:sz="4" w:space="0"/>
              <w:left w:val="nil"/>
              <w:bottom w:val="single" w:color="auto" w:sz="4" w:space="0"/>
              <w:right w:val="single" w:color="auto" w:sz="4" w:space="0"/>
            </w:tcBorders>
            <w:vAlign w:val="center"/>
          </w:tcPr>
          <w:p w14:paraId="779C9C9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5A11267F">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536F5228">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1F027F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6828" w:type="dxa"/>
            <w:tcBorders>
              <w:top w:val="single" w:color="auto" w:sz="4" w:space="0"/>
              <w:left w:val="nil"/>
              <w:bottom w:val="single" w:color="auto" w:sz="4" w:space="0"/>
              <w:right w:val="single" w:color="auto" w:sz="4" w:space="0"/>
            </w:tcBorders>
            <w:vAlign w:val="center"/>
          </w:tcPr>
          <w:p w14:paraId="326F415D">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工作方式：应采用单针、双针全血连续流动式分离模式。</w:t>
            </w:r>
          </w:p>
        </w:tc>
      </w:tr>
      <w:tr w14:paraId="55EDB7D9">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79609CFD">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DD5049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6828" w:type="dxa"/>
            <w:tcBorders>
              <w:top w:val="single" w:color="auto" w:sz="4" w:space="0"/>
              <w:left w:val="nil"/>
              <w:bottom w:val="single" w:color="auto" w:sz="4" w:space="0"/>
              <w:right w:val="single" w:color="auto" w:sz="4" w:space="0"/>
            </w:tcBorders>
            <w:vAlign w:val="center"/>
          </w:tcPr>
          <w:p w14:paraId="5A6EFF1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终产品应在离心机外收集，且终产品体积可调。</w:t>
            </w:r>
          </w:p>
        </w:tc>
      </w:tr>
      <w:tr w14:paraId="324A6409">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4752CCB2">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087AD7F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3</w:t>
            </w:r>
          </w:p>
        </w:tc>
        <w:tc>
          <w:tcPr>
            <w:tcW w:w="6828" w:type="dxa"/>
            <w:tcBorders>
              <w:top w:val="single" w:color="auto" w:sz="4" w:space="0"/>
              <w:left w:val="nil"/>
              <w:bottom w:val="single" w:color="auto" w:sz="4" w:space="0"/>
              <w:right w:val="single" w:color="auto" w:sz="4" w:space="0"/>
            </w:tcBorders>
            <w:vAlign w:val="center"/>
          </w:tcPr>
          <w:p w14:paraId="51A3CDD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auto"/>
                <w:kern w:val="0"/>
                <w:sz w:val="21"/>
                <w:szCs w:val="21"/>
                <w:lang w:val="en-US" w:eastAsia="zh-CN" w:bidi="lo-LA"/>
              </w:rPr>
              <w:t>为</w:t>
            </w:r>
            <w:r>
              <w:rPr>
                <w:rFonts w:hint="eastAsia" w:ascii="宋体" w:hAnsi="宋体" w:eastAsia="宋体" w:cs="宋体"/>
                <w:color w:val="auto"/>
                <w:kern w:val="0"/>
                <w:sz w:val="21"/>
                <w:szCs w:val="21"/>
                <w:lang w:bidi="lo-LA"/>
              </w:rPr>
              <w:t>减少机械剪切力损伤，最大程度保护细胞活性与细胞完整性，保障移植细胞质量</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离心机转数</w:t>
            </w:r>
            <w:r>
              <w:rPr>
                <w:rFonts w:hint="eastAsia" w:ascii="宋体" w:hAnsi="宋体" w:eastAsia="宋体" w:cs="宋体"/>
                <w:kern w:val="0"/>
                <w:sz w:val="21"/>
                <w:szCs w:val="21"/>
                <w:lang w:val="en-US" w:eastAsia="zh-CN" w:bidi="lo-LA"/>
              </w:rPr>
              <w:t>要求</w:t>
            </w:r>
            <w:r>
              <w:rPr>
                <w:rFonts w:hint="eastAsia" w:ascii="宋体" w:hAnsi="宋体" w:eastAsia="宋体" w:cs="宋体"/>
                <w:kern w:val="0"/>
                <w:sz w:val="21"/>
                <w:szCs w:val="21"/>
                <w:lang w:bidi="lo-LA"/>
              </w:rPr>
              <w:t>≤2200rpm，转数误差不超过±1%。</w:t>
            </w:r>
          </w:p>
        </w:tc>
      </w:tr>
      <w:tr w14:paraId="45D5C5C6">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0A3A9F8C">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6781B0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4</w:t>
            </w:r>
          </w:p>
        </w:tc>
        <w:tc>
          <w:tcPr>
            <w:tcW w:w="6828" w:type="dxa"/>
            <w:tcBorders>
              <w:top w:val="single" w:color="auto" w:sz="4" w:space="0"/>
              <w:left w:val="nil"/>
              <w:bottom w:val="single" w:color="auto" w:sz="4" w:space="0"/>
              <w:right w:val="single" w:color="auto" w:sz="4" w:space="0"/>
            </w:tcBorders>
            <w:vAlign w:val="center"/>
          </w:tcPr>
          <w:p w14:paraId="7431CB48">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全血流速：10-120ml/min，最低流速应能够达到10ml/min，以保证能够安全用于低体重儿童。</w:t>
            </w:r>
          </w:p>
        </w:tc>
      </w:tr>
      <w:tr w14:paraId="02CD752E">
        <w:tblPrEx>
          <w:tblCellMar>
            <w:top w:w="0" w:type="dxa"/>
            <w:left w:w="108" w:type="dxa"/>
            <w:bottom w:w="0" w:type="dxa"/>
            <w:right w:w="108" w:type="dxa"/>
          </w:tblCellMar>
        </w:tblPrEx>
        <w:trPr>
          <w:trHeight w:val="90" w:hRule="atLeast"/>
        </w:trPr>
        <w:tc>
          <w:tcPr>
            <w:tcW w:w="692" w:type="dxa"/>
            <w:tcBorders>
              <w:top w:val="single" w:color="auto" w:sz="4" w:space="0"/>
              <w:left w:val="single" w:color="auto" w:sz="4" w:space="0"/>
              <w:bottom w:val="single" w:color="auto" w:sz="4" w:space="0"/>
              <w:right w:val="single" w:color="auto" w:sz="4" w:space="0"/>
            </w:tcBorders>
            <w:vAlign w:val="center"/>
          </w:tcPr>
          <w:p w14:paraId="279AE73F">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DB7D34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5</w:t>
            </w:r>
          </w:p>
        </w:tc>
        <w:tc>
          <w:tcPr>
            <w:tcW w:w="6828" w:type="dxa"/>
            <w:tcBorders>
              <w:top w:val="single" w:color="auto" w:sz="4" w:space="0"/>
              <w:left w:val="nil"/>
              <w:bottom w:val="single" w:color="auto" w:sz="4" w:space="0"/>
              <w:right w:val="single" w:color="auto" w:sz="4" w:space="0"/>
            </w:tcBorders>
            <w:vAlign w:val="center"/>
          </w:tcPr>
          <w:p w14:paraId="082192DE">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体外循环量：不超过200 ml，同时应具有体外循环量自动监测功能。</w:t>
            </w:r>
          </w:p>
        </w:tc>
      </w:tr>
      <w:tr w14:paraId="3A67191D">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17B8CB75">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7D89FF6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6</w:t>
            </w:r>
          </w:p>
        </w:tc>
        <w:tc>
          <w:tcPr>
            <w:tcW w:w="6828" w:type="dxa"/>
            <w:tcBorders>
              <w:top w:val="single" w:color="auto" w:sz="4" w:space="0"/>
              <w:left w:val="nil"/>
              <w:bottom w:val="single" w:color="auto" w:sz="4" w:space="0"/>
              <w:right w:val="single" w:color="auto" w:sz="4" w:space="0"/>
            </w:tcBorders>
            <w:vAlign w:val="center"/>
          </w:tcPr>
          <w:p w14:paraId="29A67AE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应为五泵系统，设有独立的抗凝剂泵，能够全自动计算并控制抗凝剂剂量，抗凝剂全血比例调节范围为1:6～1:25。</w:t>
            </w:r>
          </w:p>
        </w:tc>
      </w:tr>
      <w:tr w14:paraId="7DE6F60C">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9C0127E">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C57CC5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7</w:t>
            </w:r>
          </w:p>
        </w:tc>
        <w:tc>
          <w:tcPr>
            <w:tcW w:w="6828" w:type="dxa"/>
            <w:tcBorders>
              <w:top w:val="single" w:color="auto" w:sz="4" w:space="0"/>
              <w:left w:val="nil"/>
              <w:bottom w:val="single" w:color="auto" w:sz="4" w:space="0"/>
              <w:right w:val="single" w:color="auto" w:sz="4" w:space="0"/>
            </w:tcBorders>
            <w:vAlign w:val="center"/>
          </w:tcPr>
          <w:p w14:paraId="0C08FF06">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具有CCD相机和红外探测器，以有效预防细胞污染。</w:t>
            </w:r>
          </w:p>
        </w:tc>
      </w:tr>
      <w:tr w14:paraId="11894635">
        <w:tblPrEx>
          <w:tblCellMar>
            <w:top w:w="0" w:type="dxa"/>
            <w:left w:w="108" w:type="dxa"/>
            <w:bottom w:w="0" w:type="dxa"/>
            <w:right w:w="108" w:type="dxa"/>
          </w:tblCellMar>
        </w:tblPrEx>
        <w:trPr>
          <w:trHeight w:val="412" w:hRule="atLeast"/>
        </w:trPr>
        <w:tc>
          <w:tcPr>
            <w:tcW w:w="692" w:type="dxa"/>
            <w:tcBorders>
              <w:top w:val="single" w:color="auto" w:sz="4" w:space="0"/>
              <w:left w:val="single" w:color="auto" w:sz="4" w:space="0"/>
              <w:bottom w:val="single" w:color="auto" w:sz="4" w:space="0"/>
              <w:right w:val="single" w:color="auto" w:sz="4" w:space="0"/>
            </w:tcBorders>
            <w:vAlign w:val="center"/>
          </w:tcPr>
          <w:p w14:paraId="5DE60361">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960731A">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8</w:t>
            </w:r>
          </w:p>
        </w:tc>
        <w:tc>
          <w:tcPr>
            <w:tcW w:w="6828" w:type="dxa"/>
            <w:tcBorders>
              <w:top w:val="single" w:color="auto" w:sz="4" w:space="0"/>
              <w:left w:val="nil"/>
              <w:bottom w:val="single" w:color="auto" w:sz="4" w:space="0"/>
              <w:right w:val="single" w:color="auto" w:sz="4" w:space="0"/>
            </w:tcBorders>
            <w:vAlign w:val="center"/>
          </w:tcPr>
          <w:p w14:paraId="14BE0ED8">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全中文操作界面。</w:t>
            </w:r>
          </w:p>
        </w:tc>
      </w:tr>
      <w:tr w14:paraId="0088CBE7">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0D1C9B1C">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56D6BD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9</w:t>
            </w:r>
          </w:p>
        </w:tc>
        <w:tc>
          <w:tcPr>
            <w:tcW w:w="6828" w:type="dxa"/>
            <w:tcBorders>
              <w:top w:val="single" w:color="auto" w:sz="4" w:space="0"/>
              <w:left w:val="nil"/>
              <w:bottom w:val="single" w:color="auto" w:sz="4" w:space="0"/>
              <w:right w:val="single" w:color="auto" w:sz="4" w:space="0"/>
            </w:tcBorders>
            <w:vAlign w:val="center"/>
          </w:tcPr>
          <w:p w14:paraId="27A42B4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具备液晶显示屏，支持全自动人机对话操作模式，能够动态显示实时分离数据与帮助提示信息。</w:t>
            </w:r>
          </w:p>
        </w:tc>
      </w:tr>
      <w:tr w14:paraId="496CD446">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618E9B89">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26EBDC9">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10</w:t>
            </w:r>
          </w:p>
        </w:tc>
        <w:tc>
          <w:tcPr>
            <w:tcW w:w="6828" w:type="dxa"/>
            <w:tcBorders>
              <w:top w:val="single" w:color="auto" w:sz="4" w:space="0"/>
              <w:left w:val="nil"/>
              <w:bottom w:val="single" w:color="auto" w:sz="4" w:space="0"/>
              <w:right w:val="single" w:color="auto" w:sz="4" w:space="0"/>
            </w:tcBorders>
            <w:vAlign w:val="center"/>
          </w:tcPr>
          <w:p w14:paraId="6DFB8421">
            <w:pPr>
              <w:spacing w:line="240" w:lineRule="auto"/>
              <w:rPr>
                <w:rFonts w:hint="eastAsia" w:ascii="宋体" w:hAnsi="宋体" w:eastAsia="宋体" w:cs="宋体"/>
                <w:kern w:val="0"/>
                <w:sz w:val="21"/>
                <w:szCs w:val="21"/>
                <w:lang w:bidi="lo-LA"/>
              </w:rPr>
            </w:pPr>
            <w:r>
              <w:rPr>
                <w:rFonts w:hint="eastAsia" w:ascii="宋体" w:hAnsi="宋体" w:eastAsia="宋体" w:cs="宋体"/>
                <w:color w:val="auto"/>
                <w:kern w:val="0"/>
                <w:sz w:val="21"/>
                <w:szCs w:val="21"/>
                <w:lang w:val="en-US" w:eastAsia="zh-CN" w:bidi="lo-LA"/>
              </w:rPr>
              <w:t>为</w:t>
            </w:r>
            <w:r>
              <w:rPr>
                <w:rFonts w:hint="eastAsia" w:ascii="宋体" w:hAnsi="宋体" w:eastAsia="宋体" w:cs="宋体"/>
                <w:color w:val="auto"/>
                <w:kern w:val="0"/>
                <w:sz w:val="21"/>
                <w:szCs w:val="21"/>
                <w:lang w:bidi="lo-LA"/>
              </w:rPr>
              <w:t>实时保护管路通畅，减少堵管凝血，降低通路问题造成的采集中断</w:t>
            </w:r>
            <w:r>
              <w:rPr>
                <w:rFonts w:hint="eastAsia" w:ascii="宋体" w:hAnsi="宋体" w:eastAsia="宋体" w:cs="宋体"/>
                <w:color w:val="auto"/>
                <w:kern w:val="0"/>
                <w:sz w:val="21"/>
                <w:szCs w:val="21"/>
                <w:lang w:eastAsia="zh-CN" w:bidi="lo-LA"/>
              </w:rPr>
              <w:t>，</w:t>
            </w:r>
            <w:r>
              <w:rPr>
                <w:rFonts w:hint="eastAsia" w:ascii="宋体" w:hAnsi="宋体" w:eastAsia="宋体" w:cs="宋体"/>
                <w:color w:val="auto"/>
                <w:kern w:val="0"/>
                <w:sz w:val="21"/>
                <w:szCs w:val="21"/>
                <w:lang w:val="en-US" w:eastAsia="zh-CN" w:bidi="lo-LA"/>
              </w:rPr>
              <w:t>以及在</w:t>
            </w:r>
            <w:r>
              <w:rPr>
                <w:rFonts w:hint="eastAsia" w:ascii="宋体" w:hAnsi="宋体" w:eastAsia="宋体" w:cs="宋体"/>
                <w:color w:val="auto"/>
                <w:kern w:val="0"/>
                <w:sz w:val="21"/>
                <w:szCs w:val="21"/>
                <w:lang w:bidi="lo-LA"/>
              </w:rPr>
              <w:t>回输过程中，</w:t>
            </w:r>
            <w:r>
              <w:rPr>
                <w:rFonts w:hint="eastAsia" w:ascii="宋体" w:hAnsi="宋体" w:eastAsia="宋体" w:cs="宋体"/>
                <w:color w:val="auto"/>
                <w:kern w:val="0"/>
                <w:sz w:val="21"/>
                <w:szCs w:val="21"/>
                <w:lang w:val="en-US" w:eastAsia="zh-CN" w:bidi="lo-LA"/>
              </w:rPr>
              <w:t>能够</w:t>
            </w:r>
            <w:r>
              <w:rPr>
                <w:rFonts w:hint="eastAsia" w:ascii="宋体" w:hAnsi="宋体" w:eastAsia="宋体" w:cs="宋体"/>
                <w:color w:val="auto"/>
                <w:kern w:val="0"/>
                <w:sz w:val="21"/>
                <w:szCs w:val="21"/>
                <w:lang w:bidi="lo-LA"/>
              </w:rPr>
              <w:t>反复冲洗管路，有效减少血液浪费</w:t>
            </w:r>
            <w:r>
              <w:rPr>
                <w:rFonts w:hint="eastAsia" w:ascii="宋体" w:hAnsi="宋体" w:eastAsia="宋体" w:cs="宋体"/>
                <w:color w:val="auto"/>
                <w:kern w:val="0"/>
                <w:sz w:val="21"/>
                <w:szCs w:val="21"/>
                <w:lang w:eastAsia="zh-CN" w:bidi="lo-LA"/>
              </w:rPr>
              <w:t>，</w:t>
            </w:r>
            <w:r>
              <w:rPr>
                <w:rFonts w:hint="eastAsia" w:ascii="宋体" w:hAnsi="宋体" w:eastAsia="宋体" w:cs="宋体"/>
                <w:color w:val="auto"/>
                <w:kern w:val="0"/>
                <w:sz w:val="21"/>
                <w:szCs w:val="21"/>
                <w:lang w:val="en-US" w:eastAsia="zh-CN" w:bidi="lo-LA"/>
              </w:rPr>
              <w:t>要求</w:t>
            </w:r>
            <w:r>
              <w:rPr>
                <w:rFonts w:hint="eastAsia" w:ascii="宋体" w:hAnsi="宋体" w:eastAsia="宋体" w:cs="宋体"/>
                <w:kern w:val="0"/>
                <w:sz w:val="21"/>
                <w:szCs w:val="21"/>
                <w:lang w:bidi="lo-LA"/>
              </w:rPr>
              <w:t>具备自动保持静脉开放功能，全自动维持入路和回路静脉开放（KVO），无须手动调节。</w:t>
            </w:r>
          </w:p>
        </w:tc>
      </w:tr>
      <w:tr w14:paraId="78272D68">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4568B7A5">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02B15C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11</w:t>
            </w:r>
          </w:p>
        </w:tc>
        <w:tc>
          <w:tcPr>
            <w:tcW w:w="6828" w:type="dxa"/>
            <w:tcBorders>
              <w:top w:val="single" w:color="auto" w:sz="4" w:space="0"/>
              <w:left w:val="nil"/>
              <w:bottom w:val="single" w:color="auto" w:sz="4" w:space="0"/>
              <w:right w:val="single" w:color="auto" w:sz="4" w:space="0"/>
            </w:tcBorders>
            <w:vAlign w:val="center"/>
          </w:tcPr>
          <w:p w14:paraId="20C34701">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auto"/>
                <w:kern w:val="0"/>
                <w:sz w:val="21"/>
                <w:szCs w:val="21"/>
                <w:lang w:val="en-US" w:eastAsia="zh-CN" w:bidi="lo-LA"/>
              </w:rPr>
              <w:t>为</w:t>
            </w:r>
            <w:r>
              <w:rPr>
                <w:rFonts w:hint="eastAsia" w:ascii="宋体" w:hAnsi="宋体" w:eastAsia="宋体" w:cs="宋体"/>
                <w:color w:val="auto"/>
                <w:kern w:val="0"/>
                <w:sz w:val="21"/>
                <w:szCs w:val="21"/>
                <w:lang w:bidi="lo-LA"/>
              </w:rPr>
              <w:t>预估干细胞收获量，避免无效采集以及过量循环采集，提升采集效率</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要求</w:t>
            </w:r>
            <w:r>
              <w:rPr>
                <w:rFonts w:hint="eastAsia" w:ascii="宋体" w:hAnsi="宋体" w:eastAsia="宋体" w:cs="宋体"/>
                <w:kern w:val="0"/>
                <w:sz w:val="21"/>
                <w:szCs w:val="21"/>
                <w:lang w:bidi="lo-LA"/>
              </w:rPr>
              <w:t>具备自动预测计算CD34＋细胞收率功能。</w:t>
            </w:r>
          </w:p>
        </w:tc>
      </w:tr>
      <w:tr w14:paraId="2CC34069">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615B0EE5">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7494BA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12</w:t>
            </w:r>
          </w:p>
        </w:tc>
        <w:tc>
          <w:tcPr>
            <w:tcW w:w="6828" w:type="dxa"/>
            <w:tcBorders>
              <w:top w:val="single" w:color="auto" w:sz="4" w:space="0"/>
              <w:left w:val="nil"/>
              <w:bottom w:val="single" w:color="auto" w:sz="4" w:space="0"/>
              <w:right w:val="single" w:color="auto" w:sz="4" w:space="0"/>
            </w:tcBorders>
            <w:vAlign w:val="center"/>
          </w:tcPr>
          <w:p w14:paraId="4EB6AFB0">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能够自动化程序操作及设备硬件诊断检测。</w:t>
            </w:r>
          </w:p>
        </w:tc>
      </w:tr>
      <w:tr w14:paraId="0044943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FFBC4FE">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F2ACE7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13</w:t>
            </w:r>
          </w:p>
        </w:tc>
        <w:tc>
          <w:tcPr>
            <w:tcW w:w="6828" w:type="dxa"/>
            <w:tcBorders>
              <w:top w:val="single" w:color="auto" w:sz="4" w:space="0"/>
              <w:left w:val="nil"/>
              <w:bottom w:val="single" w:color="auto" w:sz="4" w:space="0"/>
              <w:right w:val="single" w:color="auto" w:sz="4" w:space="0"/>
            </w:tcBorders>
            <w:vAlign w:val="center"/>
          </w:tcPr>
          <w:p w14:paraId="50B83E9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血小板/血浆采集要求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64B151D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E802A5C">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4FFB50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13.1</w:t>
            </w:r>
          </w:p>
        </w:tc>
        <w:tc>
          <w:tcPr>
            <w:tcW w:w="6828" w:type="dxa"/>
            <w:tcBorders>
              <w:top w:val="single" w:color="auto" w:sz="4" w:space="0"/>
              <w:left w:val="nil"/>
              <w:bottom w:val="single" w:color="auto" w:sz="4" w:space="0"/>
              <w:right w:val="single" w:color="auto" w:sz="4" w:space="0"/>
            </w:tcBorders>
            <w:vAlign w:val="center"/>
          </w:tcPr>
          <w:p w14:paraId="32B60B5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具备单针、双针连续采集方式。</w:t>
            </w:r>
          </w:p>
        </w:tc>
      </w:tr>
      <w:tr w14:paraId="3C92244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DF36801">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BC7553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13.2</w:t>
            </w:r>
          </w:p>
        </w:tc>
        <w:tc>
          <w:tcPr>
            <w:tcW w:w="6828" w:type="dxa"/>
            <w:tcBorders>
              <w:top w:val="single" w:color="auto" w:sz="4" w:space="0"/>
              <w:left w:val="nil"/>
              <w:bottom w:val="single" w:color="auto" w:sz="4" w:space="0"/>
              <w:right w:val="single" w:color="auto" w:sz="4" w:space="0"/>
            </w:tcBorders>
            <w:vAlign w:val="center"/>
          </w:tcPr>
          <w:p w14:paraId="0F5C6174">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可采集一至三份3×10</w:t>
            </w:r>
            <w:r>
              <w:rPr>
                <w:rFonts w:hint="eastAsia" w:ascii="宋体" w:hAnsi="宋体" w:eastAsia="宋体" w:cs="宋体"/>
                <w:kern w:val="0"/>
                <w:sz w:val="21"/>
                <w:szCs w:val="21"/>
                <w:vertAlign w:val="superscript"/>
                <w:lang w:bidi="lo-LA"/>
              </w:rPr>
              <w:t>11</w:t>
            </w:r>
            <w:r>
              <w:rPr>
                <w:rFonts w:hint="eastAsia" w:ascii="宋体" w:hAnsi="宋体" w:eastAsia="宋体" w:cs="宋体"/>
                <w:kern w:val="0"/>
                <w:sz w:val="21"/>
                <w:szCs w:val="21"/>
                <w:lang w:bidi="lo-LA"/>
              </w:rPr>
              <w:t>血小板。</w:t>
            </w:r>
          </w:p>
        </w:tc>
      </w:tr>
      <w:tr w14:paraId="46E008F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7DD62F8">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6A73FA9C">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13.</w:t>
            </w:r>
            <w:r>
              <w:rPr>
                <w:rFonts w:hint="eastAsia" w:ascii="宋体" w:hAnsi="宋体" w:eastAsia="宋体" w:cs="宋体"/>
                <w:kern w:val="0"/>
                <w:sz w:val="21"/>
                <w:szCs w:val="21"/>
                <w:lang w:val="en-US" w:eastAsia="zh-CN" w:bidi="lo-LA"/>
              </w:rPr>
              <w:t>3</w:t>
            </w:r>
          </w:p>
        </w:tc>
        <w:tc>
          <w:tcPr>
            <w:tcW w:w="6828" w:type="dxa"/>
            <w:tcBorders>
              <w:top w:val="single" w:color="auto" w:sz="4" w:space="0"/>
              <w:left w:val="nil"/>
              <w:bottom w:val="single" w:color="auto" w:sz="4" w:space="0"/>
              <w:right w:val="single" w:color="auto" w:sz="4" w:space="0"/>
            </w:tcBorders>
            <w:vAlign w:val="center"/>
          </w:tcPr>
          <w:p w14:paraId="3551A820">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采集效率：采集或去除血小板平均效率不小于60%，单针应能够达到75％。</w:t>
            </w:r>
          </w:p>
        </w:tc>
      </w:tr>
      <w:tr w14:paraId="0B7537B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94C4FDE">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1C5C796">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13.</w:t>
            </w:r>
            <w:r>
              <w:rPr>
                <w:rFonts w:hint="eastAsia" w:ascii="宋体" w:hAnsi="宋体" w:eastAsia="宋体" w:cs="宋体"/>
                <w:kern w:val="0"/>
                <w:sz w:val="21"/>
                <w:szCs w:val="21"/>
                <w:lang w:val="en-US" w:eastAsia="zh-CN" w:bidi="lo-LA"/>
              </w:rPr>
              <w:t>4</w:t>
            </w:r>
          </w:p>
        </w:tc>
        <w:tc>
          <w:tcPr>
            <w:tcW w:w="6828" w:type="dxa"/>
            <w:tcBorders>
              <w:top w:val="single" w:color="auto" w:sz="4" w:space="0"/>
              <w:left w:val="nil"/>
              <w:bottom w:val="single" w:color="auto" w:sz="4" w:space="0"/>
              <w:right w:val="single" w:color="auto" w:sz="4" w:space="0"/>
            </w:tcBorders>
            <w:vAlign w:val="center"/>
          </w:tcPr>
          <w:p w14:paraId="40EC3068">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白细胞含量：≤5.5×10</w:t>
            </w:r>
            <w:r>
              <w:rPr>
                <w:rFonts w:hint="eastAsia" w:ascii="宋体" w:hAnsi="宋体" w:eastAsia="宋体" w:cs="宋体"/>
                <w:kern w:val="0"/>
                <w:sz w:val="21"/>
                <w:szCs w:val="21"/>
                <w:vertAlign w:val="superscript"/>
                <w:lang w:bidi="lo-LA"/>
              </w:rPr>
              <w:t>5</w:t>
            </w:r>
            <w:r>
              <w:rPr>
                <w:rFonts w:hint="eastAsia" w:ascii="宋体" w:hAnsi="宋体" w:eastAsia="宋体" w:cs="宋体"/>
                <w:kern w:val="0"/>
                <w:sz w:val="21"/>
                <w:szCs w:val="21"/>
                <w:lang w:bidi="lo-LA"/>
              </w:rPr>
              <w:t>/单位。</w:t>
            </w:r>
          </w:p>
        </w:tc>
      </w:tr>
      <w:tr w14:paraId="5CB9A91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C1EF80E">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3B69E87">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13.</w:t>
            </w:r>
            <w:r>
              <w:rPr>
                <w:rFonts w:hint="eastAsia" w:ascii="宋体" w:hAnsi="宋体" w:eastAsia="宋体" w:cs="宋体"/>
                <w:kern w:val="0"/>
                <w:sz w:val="21"/>
                <w:szCs w:val="21"/>
                <w:lang w:val="en-US" w:eastAsia="zh-CN" w:bidi="lo-LA"/>
              </w:rPr>
              <w:t>5</w:t>
            </w:r>
          </w:p>
        </w:tc>
        <w:tc>
          <w:tcPr>
            <w:tcW w:w="6828" w:type="dxa"/>
            <w:tcBorders>
              <w:top w:val="single" w:color="auto" w:sz="4" w:space="0"/>
              <w:left w:val="nil"/>
              <w:bottom w:val="single" w:color="auto" w:sz="4" w:space="0"/>
              <w:right w:val="single" w:color="auto" w:sz="4" w:space="0"/>
            </w:tcBorders>
            <w:vAlign w:val="center"/>
          </w:tcPr>
          <w:p w14:paraId="3B6FF38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红细胞含量：≤8.0×10</w:t>
            </w:r>
            <w:r>
              <w:rPr>
                <w:rFonts w:hint="eastAsia" w:ascii="宋体" w:hAnsi="宋体" w:eastAsia="宋体" w:cs="宋体"/>
                <w:kern w:val="0"/>
                <w:sz w:val="21"/>
                <w:szCs w:val="21"/>
                <w:vertAlign w:val="superscript"/>
                <w:lang w:bidi="lo-LA"/>
              </w:rPr>
              <w:t>9</w:t>
            </w:r>
            <w:r>
              <w:rPr>
                <w:rFonts w:hint="eastAsia" w:ascii="宋体" w:hAnsi="宋体" w:eastAsia="宋体" w:cs="宋体"/>
                <w:kern w:val="0"/>
                <w:sz w:val="21"/>
                <w:szCs w:val="21"/>
                <w:lang w:bidi="lo-LA"/>
              </w:rPr>
              <w:t>/单位。</w:t>
            </w:r>
          </w:p>
        </w:tc>
      </w:tr>
      <w:tr w14:paraId="191364B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B2708B0">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202D071">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13.</w:t>
            </w:r>
            <w:r>
              <w:rPr>
                <w:rFonts w:hint="eastAsia" w:ascii="宋体" w:hAnsi="宋体" w:eastAsia="宋体" w:cs="宋体"/>
                <w:kern w:val="0"/>
                <w:sz w:val="21"/>
                <w:szCs w:val="21"/>
                <w:lang w:val="en-US" w:eastAsia="zh-CN" w:bidi="lo-LA"/>
              </w:rPr>
              <w:t>6</w:t>
            </w:r>
          </w:p>
        </w:tc>
        <w:tc>
          <w:tcPr>
            <w:tcW w:w="6828" w:type="dxa"/>
            <w:tcBorders>
              <w:top w:val="single" w:color="auto" w:sz="4" w:space="0"/>
              <w:left w:val="nil"/>
              <w:bottom w:val="single" w:color="auto" w:sz="4" w:space="0"/>
              <w:right w:val="single" w:color="auto" w:sz="4" w:space="0"/>
            </w:tcBorders>
            <w:vAlign w:val="center"/>
          </w:tcPr>
          <w:p w14:paraId="0017C2BE">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血小板保存时间：封闭式管路采集应至少能够有效保存5天。</w:t>
            </w:r>
          </w:p>
        </w:tc>
      </w:tr>
      <w:tr w14:paraId="0CB7DCD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A67F2DA">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11B1C6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14</w:t>
            </w:r>
          </w:p>
        </w:tc>
        <w:tc>
          <w:tcPr>
            <w:tcW w:w="6828" w:type="dxa"/>
            <w:tcBorders>
              <w:top w:val="single" w:color="auto" w:sz="4" w:space="0"/>
              <w:left w:val="nil"/>
              <w:bottom w:val="single" w:color="auto" w:sz="4" w:space="0"/>
              <w:right w:val="single" w:color="auto" w:sz="4" w:space="0"/>
            </w:tcBorders>
            <w:vAlign w:val="center"/>
          </w:tcPr>
          <w:p w14:paraId="4465A934">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干细胞采集要求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42D1123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25E4D1">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99E4A0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14.1</w:t>
            </w:r>
          </w:p>
        </w:tc>
        <w:tc>
          <w:tcPr>
            <w:tcW w:w="6828" w:type="dxa"/>
            <w:tcBorders>
              <w:top w:val="single" w:color="auto" w:sz="4" w:space="0"/>
              <w:left w:val="nil"/>
              <w:bottom w:val="single" w:color="auto" w:sz="4" w:space="0"/>
              <w:right w:val="single" w:color="auto" w:sz="4" w:space="0"/>
            </w:tcBorders>
            <w:vAlign w:val="center"/>
          </w:tcPr>
          <w:p w14:paraId="0EB8E518">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具备多种外周血干细胞采集模式，包括骨髓干细胞体外浓缩淘洗功能。</w:t>
            </w:r>
          </w:p>
        </w:tc>
      </w:tr>
      <w:tr w14:paraId="0E1918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52A4ADB">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4B105D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14.2</w:t>
            </w:r>
          </w:p>
        </w:tc>
        <w:tc>
          <w:tcPr>
            <w:tcW w:w="6828" w:type="dxa"/>
            <w:tcBorders>
              <w:top w:val="single" w:color="auto" w:sz="4" w:space="0"/>
              <w:left w:val="nil"/>
              <w:bottom w:val="single" w:color="auto" w:sz="4" w:space="0"/>
              <w:right w:val="single" w:color="auto" w:sz="4" w:space="0"/>
            </w:tcBorders>
            <w:vAlign w:val="center"/>
          </w:tcPr>
          <w:p w14:paraId="339B3912">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外周血CD34阳性细胞采集效率：≥92%。</w:t>
            </w:r>
          </w:p>
        </w:tc>
      </w:tr>
      <w:tr w14:paraId="4C877D7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24A7D2C">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1CCCA89">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14.3</w:t>
            </w:r>
          </w:p>
        </w:tc>
        <w:tc>
          <w:tcPr>
            <w:tcW w:w="6828" w:type="dxa"/>
            <w:tcBorders>
              <w:top w:val="single" w:color="auto" w:sz="4" w:space="0"/>
              <w:left w:val="nil"/>
              <w:bottom w:val="single" w:color="auto" w:sz="4" w:space="0"/>
              <w:right w:val="single" w:color="auto" w:sz="4" w:space="0"/>
            </w:tcBorders>
            <w:vAlign w:val="center"/>
          </w:tcPr>
          <w:p w14:paraId="0FBFA0E1">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红细胞及血小板丢失水平：可调。</w:t>
            </w:r>
          </w:p>
        </w:tc>
      </w:tr>
      <w:tr w14:paraId="50508BA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E624BBE">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A000F8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w:t>
            </w:r>
          </w:p>
        </w:tc>
        <w:tc>
          <w:tcPr>
            <w:tcW w:w="6828" w:type="dxa"/>
            <w:tcBorders>
              <w:top w:val="single" w:color="auto" w:sz="4" w:space="0"/>
              <w:left w:val="nil"/>
              <w:bottom w:val="single" w:color="auto" w:sz="4" w:space="0"/>
              <w:right w:val="single" w:color="auto" w:sz="4" w:space="0"/>
            </w:tcBorders>
            <w:vAlign w:val="center"/>
          </w:tcPr>
          <w:p w14:paraId="4E7D4252">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血液治疗要求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2F41BBE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A25BC09">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6FA39C9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15.1</w:t>
            </w:r>
          </w:p>
        </w:tc>
        <w:tc>
          <w:tcPr>
            <w:tcW w:w="6828" w:type="dxa"/>
            <w:tcBorders>
              <w:top w:val="single" w:color="auto" w:sz="4" w:space="0"/>
              <w:left w:val="nil"/>
              <w:bottom w:val="single" w:color="auto" w:sz="4" w:space="0"/>
              <w:right w:val="single" w:color="auto" w:sz="4" w:space="0"/>
            </w:tcBorders>
            <w:vAlign w:val="center"/>
          </w:tcPr>
          <w:p w14:paraId="1A379D17">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治疗性血浆置换要求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25D8883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7CD67B7">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7C2F644F">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15.1.1</w:t>
            </w:r>
          </w:p>
        </w:tc>
        <w:tc>
          <w:tcPr>
            <w:tcW w:w="6828" w:type="dxa"/>
            <w:tcBorders>
              <w:top w:val="single" w:color="auto" w:sz="4" w:space="0"/>
              <w:left w:val="nil"/>
              <w:bottom w:val="single" w:color="auto" w:sz="4" w:space="0"/>
              <w:right w:val="single" w:color="auto" w:sz="4" w:space="0"/>
            </w:tcBorders>
            <w:vAlign w:val="center"/>
          </w:tcPr>
          <w:p w14:paraId="5BE5448B">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可自动计算去除血浆量及置换量。</w:t>
            </w:r>
          </w:p>
        </w:tc>
      </w:tr>
      <w:tr w14:paraId="1A57E1A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7E3C8F">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C64E5A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15.1.2</w:t>
            </w:r>
          </w:p>
        </w:tc>
        <w:tc>
          <w:tcPr>
            <w:tcW w:w="6828" w:type="dxa"/>
            <w:tcBorders>
              <w:top w:val="single" w:color="auto" w:sz="4" w:space="0"/>
              <w:left w:val="nil"/>
              <w:bottom w:val="single" w:color="auto" w:sz="4" w:space="0"/>
              <w:right w:val="single" w:color="auto" w:sz="4" w:space="0"/>
            </w:tcBorders>
            <w:vAlign w:val="center"/>
          </w:tcPr>
          <w:p w14:paraId="12F52FF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置换液体平衡范围：50%—150%。</w:t>
            </w:r>
          </w:p>
        </w:tc>
      </w:tr>
      <w:tr w14:paraId="229649B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44C60D8">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583452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15.1.3</w:t>
            </w:r>
          </w:p>
        </w:tc>
        <w:tc>
          <w:tcPr>
            <w:tcW w:w="6828" w:type="dxa"/>
            <w:tcBorders>
              <w:top w:val="single" w:color="auto" w:sz="4" w:space="0"/>
              <w:left w:val="nil"/>
              <w:bottom w:val="single" w:color="auto" w:sz="4" w:space="0"/>
              <w:right w:val="single" w:color="auto" w:sz="4" w:space="0"/>
            </w:tcBorders>
            <w:vAlign w:val="center"/>
          </w:tcPr>
          <w:p w14:paraId="2D1522E6">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可选择置换液类型，进而自动调整抗凝剂用量。</w:t>
            </w:r>
          </w:p>
        </w:tc>
      </w:tr>
      <w:tr w14:paraId="7584159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EAE6695">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0C841EC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15.1.4</w:t>
            </w:r>
          </w:p>
        </w:tc>
        <w:tc>
          <w:tcPr>
            <w:tcW w:w="6828" w:type="dxa"/>
            <w:tcBorders>
              <w:top w:val="single" w:color="auto" w:sz="4" w:space="0"/>
              <w:left w:val="nil"/>
              <w:bottom w:val="single" w:color="auto" w:sz="4" w:space="0"/>
              <w:right w:val="single" w:color="auto" w:sz="4" w:space="0"/>
            </w:tcBorders>
            <w:vAlign w:val="center"/>
          </w:tcPr>
          <w:p w14:paraId="43A048CB">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血浆置换过程中，血小板损失量≤3%。</w:t>
            </w:r>
          </w:p>
        </w:tc>
      </w:tr>
      <w:tr w14:paraId="014B600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8A17F6F">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94FD48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15.2</w:t>
            </w:r>
          </w:p>
        </w:tc>
        <w:tc>
          <w:tcPr>
            <w:tcW w:w="6828" w:type="dxa"/>
            <w:tcBorders>
              <w:top w:val="single" w:color="auto" w:sz="4" w:space="0"/>
              <w:left w:val="nil"/>
              <w:bottom w:val="single" w:color="auto" w:sz="4" w:space="0"/>
              <w:right w:val="single" w:color="auto" w:sz="4" w:space="0"/>
            </w:tcBorders>
            <w:vAlign w:val="center"/>
          </w:tcPr>
          <w:p w14:paraId="6D8561F4">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治疗性红细胞去除与置换要求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5569B21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971D6A5">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85FF2F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15.2.1</w:t>
            </w:r>
          </w:p>
        </w:tc>
        <w:tc>
          <w:tcPr>
            <w:tcW w:w="6828" w:type="dxa"/>
            <w:tcBorders>
              <w:top w:val="single" w:color="auto" w:sz="4" w:space="0"/>
              <w:left w:val="nil"/>
              <w:bottom w:val="single" w:color="auto" w:sz="4" w:space="0"/>
              <w:right w:val="single" w:color="auto" w:sz="4" w:space="0"/>
            </w:tcBorders>
            <w:vAlign w:val="center"/>
          </w:tcPr>
          <w:p w14:paraId="220E3981">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可自动计算去除或置换的红细胞量。</w:t>
            </w:r>
          </w:p>
        </w:tc>
      </w:tr>
      <w:tr w14:paraId="5BB04A4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2A8FE2C">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1BB15C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15.2.2</w:t>
            </w:r>
          </w:p>
        </w:tc>
        <w:tc>
          <w:tcPr>
            <w:tcW w:w="6828" w:type="dxa"/>
            <w:tcBorders>
              <w:top w:val="single" w:color="auto" w:sz="4" w:space="0"/>
              <w:left w:val="nil"/>
              <w:bottom w:val="single" w:color="auto" w:sz="4" w:space="0"/>
              <w:right w:val="single" w:color="auto" w:sz="4" w:space="0"/>
            </w:tcBorders>
            <w:vAlign w:val="center"/>
          </w:tcPr>
          <w:p w14:paraId="5A2B7832">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可设定去除后的目标红细胞积压。</w:t>
            </w:r>
          </w:p>
        </w:tc>
      </w:tr>
      <w:tr w14:paraId="5A88EC2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0FCA874">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67324E8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15.2.3</w:t>
            </w:r>
          </w:p>
        </w:tc>
        <w:tc>
          <w:tcPr>
            <w:tcW w:w="6828" w:type="dxa"/>
            <w:tcBorders>
              <w:top w:val="single" w:color="auto" w:sz="4" w:space="0"/>
              <w:left w:val="nil"/>
              <w:bottom w:val="single" w:color="auto" w:sz="4" w:space="0"/>
              <w:right w:val="single" w:color="auto" w:sz="4" w:space="0"/>
            </w:tcBorders>
            <w:vAlign w:val="center"/>
          </w:tcPr>
          <w:p w14:paraId="29F826C4">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内置红细胞压积计算器。</w:t>
            </w:r>
          </w:p>
        </w:tc>
      </w:tr>
      <w:tr w14:paraId="4519D08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BA7BAFD">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7B8C3E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15.3</w:t>
            </w:r>
          </w:p>
        </w:tc>
        <w:tc>
          <w:tcPr>
            <w:tcW w:w="6828" w:type="dxa"/>
            <w:tcBorders>
              <w:top w:val="single" w:color="auto" w:sz="4" w:space="0"/>
              <w:left w:val="nil"/>
              <w:bottom w:val="single" w:color="auto" w:sz="4" w:space="0"/>
              <w:right w:val="single" w:color="auto" w:sz="4" w:space="0"/>
            </w:tcBorders>
            <w:vAlign w:val="center"/>
          </w:tcPr>
          <w:p w14:paraId="686B6676">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去除白细胞或血小板要求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32122B5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8450120">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0DA856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15.3.1</w:t>
            </w:r>
          </w:p>
        </w:tc>
        <w:tc>
          <w:tcPr>
            <w:tcW w:w="6828" w:type="dxa"/>
            <w:tcBorders>
              <w:top w:val="single" w:color="auto" w:sz="4" w:space="0"/>
              <w:left w:val="nil"/>
              <w:bottom w:val="single" w:color="auto" w:sz="4" w:space="0"/>
              <w:right w:val="single" w:color="auto" w:sz="4" w:space="0"/>
            </w:tcBorders>
            <w:vAlign w:val="center"/>
          </w:tcPr>
          <w:p w14:paraId="4750039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可设定去除的容量与细胞数。</w:t>
            </w:r>
          </w:p>
        </w:tc>
      </w:tr>
      <w:tr w14:paraId="0C8B181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4931AD4">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67F3943">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15.3.2</w:t>
            </w:r>
          </w:p>
        </w:tc>
        <w:tc>
          <w:tcPr>
            <w:tcW w:w="6828" w:type="dxa"/>
            <w:tcBorders>
              <w:top w:val="single" w:color="auto" w:sz="4" w:space="0"/>
              <w:left w:val="nil"/>
              <w:bottom w:val="single" w:color="auto" w:sz="4" w:space="0"/>
              <w:right w:val="single" w:color="auto" w:sz="4" w:space="0"/>
            </w:tcBorders>
            <w:vAlign w:val="center"/>
          </w:tcPr>
          <w:p w14:paraId="07BD5C63">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红细胞丢失水平：可调。</w:t>
            </w:r>
          </w:p>
        </w:tc>
      </w:tr>
      <w:tr w14:paraId="650D303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748F6AA">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95ADFF3">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15.4</w:t>
            </w:r>
          </w:p>
        </w:tc>
        <w:tc>
          <w:tcPr>
            <w:tcW w:w="6828" w:type="dxa"/>
            <w:tcBorders>
              <w:top w:val="single" w:color="auto" w:sz="4" w:space="0"/>
              <w:left w:val="nil"/>
              <w:bottom w:val="single" w:color="auto" w:sz="4" w:space="0"/>
              <w:right w:val="single" w:color="auto" w:sz="4" w:space="0"/>
            </w:tcBorders>
            <w:vAlign w:val="center"/>
          </w:tcPr>
          <w:p w14:paraId="267BFD0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血浆治疗性处理要求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3A7A525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0FB2475">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153343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15.4.1</w:t>
            </w:r>
          </w:p>
        </w:tc>
        <w:tc>
          <w:tcPr>
            <w:tcW w:w="6828" w:type="dxa"/>
            <w:tcBorders>
              <w:top w:val="single" w:color="auto" w:sz="4" w:space="0"/>
              <w:left w:val="nil"/>
              <w:bottom w:val="single" w:color="auto" w:sz="4" w:space="0"/>
              <w:right w:val="single" w:color="auto" w:sz="4" w:space="0"/>
            </w:tcBorders>
            <w:vAlign w:val="center"/>
          </w:tcPr>
          <w:p w14:paraId="2537F41D">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可做免疫吸附治疗。</w:t>
            </w:r>
          </w:p>
        </w:tc>
      </w:tr>
      <w:tr w14:paraId="3565EFC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9F9B76D">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13EFF8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15.4.2</w:t>
            </w:r>
          </w:p>
        </w:tc>
        <w:tc>
          <w:tcPr>
            <w:tcW w:w="6828" w:type="dxa"/>
            <w:tcBorders>
              <w:top w:val="single" w:color="auto" w:sz="4" w:space="0"/>
              <w:left w:val="nil"/>
              <w:bottom w:val="single" w:color="auto" w:sz="4" w:space="0"/>
              <w:right w:val="single" w:color="auto" w:sz="4" w:space="0"/>
            </w:tcBorders>
            <w:vAlign w:val="center"/>
          </w:tcPr>
          <w:p w14:paraId="52196B4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可做低密度脂蛋白吸附分离去除。</w:t>
            </w:r>
          </w:p>
        </w:tc>
      </w:tr>
      <w:tr w14:paraId="503A70D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5C7DE20">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4C2359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w:t>
            </w:r>
          </w:p>
        </w:tc>
        <w:tc>
          <w:tcPr>
            <w:tcW w:w="6828" w:type="dxa"/>
            <w:tcBorders>
              <w:top w:val="single" w:color="auto" w:sz="4" w:space="0"/>
              <w:left w:val="nil"/>
              <w:bottom w:val="single" w:color="auto" w:sz="4" w:space="0"/>
              <w:right w:val="single" w:color="auto" w:sz="4" w:space="0"/>
            </w:tcBorders>
            <w:vAlign w:val="center"/>
          </w:tcPr>
          <w:p w14:paraId="35215944">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安全性能要求</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本标题条目不参与评分）</w:t>
            </w:r>
            <w:r>
              <w:rPr>
                <w:rFonts w:hint="eastAsia" w:ascii="宋体" w:hAnsi="宋体" w:eastAsia="宋体" w:cs="宋体"/>
                <w:kern w:val="0"/>
                <w:sz w:val="21"/>
                <w:szCs w:val="21"/>
                <w:lang w:bidi="lo-LA"/>
              </w:rPr>
              <w:t>：</w:t>
            </w:r>
          </w:p>
        </w:tc>
      </w:tr>
      <w:tr w14:paraId="2B1740A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9F83703">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7D2AE19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16.1</w:t>
            </w:r>
          </w:p>
        </w:tc>
        <w:tc>
          <w:tcPr>
            <w:tcW w:w="6828" w:type="dxa"/>
            <w:tcBorders>
              <w:top w:val="single" w:color="auto" w:sz="4" w:space="0"/>
              <w:left w:val="nil"/>
              <w:bottom w:val="single" w:color="auto" w:sz="4" w:space="0"/>
              <w:right w:val="single" w:color="auto" w:sz="4" w:space="0"/>
            </w:tcBorders>
            <w:vAlign w:val="center"/>
          </w:tcPr>
          <w:p w14:paraId="3430C19D">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具备采血压力感受器、回血压力感受器；提供第三方接口压力监测及报警装置。</w:t>
            </w:r>
          </w:p>
        </w:tc>
      </w:tr>
      <w:tr w14:paraId="796F73B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101138A">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455569C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16.2</w:t>
            </w:r>
          </w:p>
        </w:tc>
        <w:tc>
          <w:tcPr>
            <w:tcW w:w="6828" w:type="dxa"/>
            <w:tcBorders>
              <w:top w:val="single" w:color="auto" w:sz="4" w:space="0"/>
              <w:left w:val="nil"/>
              <w:bottom w:val="single" w:color="auto" w:sz="4" w:space="0"/>
              <w:right w:val="single" w:color="auto" w:sz="4" w:space="0"/>
            </w:tcBorders>
            <w:vAlign w:val="center"/>
          </w:tcPr>
          <w:p w14:paraId="22ED41A9">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具备空气探测器。</w:t>
            </w:r>
          </w:p>
        </w:tc>
      </w:tr>
      <w:tr w14:paraId="525DE15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D0CB65">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0003B7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16.3</w:t>
            </w:r>
          </w:p>
        </w:tc>
        <w:tc>
          <w:tcPr>
            <w:tcW w:w="6828" w:type="dxa"/>
            <w:tcBorders>
              <w:top w:val="single" w:color="auto" w:sz="4" w:space="0"/>
              <w:left w:val="nil"/>
              <w:bottom w:val="single" w:color="auto" w:sz="4" w:space="0"/>
              <w:right w:val="single" w:color="auto" w:sz="4" w:space="0"/>
            </w:tcBorders>
            <w:vAlign w:val="center"/>
          </w:tcPr>
          <w:p w14:paraId="32569986">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具备细胞监测器、自动界面探测器。</w:t>
            </w:r>
          </w:p>
        </w:tc>
      </w:tr>
      <w:tr w14:paraId="48EC32B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E4B93E6">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BB88EF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16.4</w:t>
            </w:r>
          </w:p>
        </w:tc>
        <w:tc>
          <w:tcPr>
            <w:tcW w:w="6828" w:type="dxa"/>
            <w:tcBorders>
              <w:top w:val="single" w:color="auto" w:sz="4" w:space="0"/>
              <w:left w:val="nil"/>
              <w:bottom w:val="single" w:color="auto" w:sz="4" w:space="0"/>
              <w:right w:val="single" w:color="auto" w:sz="4" w:space="0"/>
            </w:tcBorders>
            <w:vAlign w:val="center"/>
          </w:tcPr>
          <w:p w14:paraId="00CBEF1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具备血浆管路溶血监测器。</w:t>
            </w:r>
          </w:p>
        </w:tc>
      </w:tr>
      <w:tr w14:paraId="2D55D38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889620">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76281D73">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16.5</w:t>
            </w:r>
          </w:p>
        </w:tc>
        <w:tc>
          <w:tcPr>
            <w:tcW w:w="6828" w:type="dxa"/>
            <w:tcBorders>
              <w:top w:val="single" w:color="auto" w:sz="4" w:space="0"/>
              <w:left w:val="nil"/>
              <w:bottom w:val="single" w:color="auto" w:sz="4" w:space="0"/>
              <w:right w:val="single" w:color="auto" w:sz="4" w:space="0"/>
            </w:tcBorders>
            <w:vAlign w:val="center"/>
          </w:tcPr>
          <w:p w14:paraId="016D255C">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具备红外精确抗凝剂滴速监测器，同时通过独立的抗凝剂泵精确控制抗凝剂入量。</w:t>
            </w:r>
          </w:p>
        </w:tc>
      </w:tr>
      <w:tr w14:paraId="3CDBAB8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B8FE52F">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3DB832C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16.6</w:t>
            </w:r>
          </w:p>
        </w:tc>
        <w:tc>
          <w:tcPr>
            <w:tcW w:w="6828" w:type="dxa"/>
            <w:tcBorders>
              <w:top w:val="single" w:color="auto" w:sz="4" w:space="0"/>
              <w:left w:val="nil"/>
              <w:bottom w:val="single" w:color="auto" w:sz="4" w:space="0"/>
              <w:right w:val="single" w:color="auto" w:sz="4" w:space="0"/>
            </w:tcBorders>
            <w:vAlign w:val="center"/>
          </w:tcPr>
          <w:p w14:paraId="690BA1D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具备离心室漏液（漏血）监测功能。</w:t>
            </w:r>
          </w:p>
        </w:tc>
      </w:tr>
      <w:tr w14:paraId="7EDE3E3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1A24418">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16EAFE2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16.7</w:t>
            </w:r>
          </w:p>
        </w:tc>
        <w:tc>
          <w:tcPr>
            <w:tcW w:w="6828" w:type="dxa"/>
            <w:tcBorders>
              <w:top w:val="single" w:color="auto" w:sz="4" w:space="0"/>
              <w:left w:val="nil"/>
              <w:bottom w:val="single" w:color="auto" w:sz="4" w:space="0"/>
              <w:right w:val="single" w:color="auto" w:sz="4" w:space="0"/>
            </w:tcBorders>
            <w:vAlign w:val="center"/>
          </w:tcPr>
          <w:p w14:paraId="05364B51">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具备离心室温度监测功能。</w:t>
            </w:r>
          </w:p>
        </w:tc>
      </w:tr>
      <w:tr w14:paraId="51EBE38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096E306">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7AE9170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16.8</w:t>
            </w:r>
          </w:p>
        </w:tc>
        <w:tc>
          <w:tcPr>
            <w:tcW w:w="6828" w:type="dxa"/>
            <w:tcBorders>
              <w:top w:val="single" w:color="auto" w:sz="4" w:space="0"/>
              <w:left w:val="nil"/>
              <w:bottom w:val="single" w:color="auto" w:sz="4" w:space="0"/>
              <w:right w:val="single" w:color="auto" w:sz="4" w:space="0"/>
            </w:tcBorders>
            <w:vAlign w:val="center"/>
          </w:tcPr>
          <w:p w14:paraId="6984E56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具备离体血容量监测功能。</w:t>
            </w:r>
          </w:p>
        </w:tc>
      </w:tr>
      <w:tr w14:paraId="45124D3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14EAFD5">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0A6E4AD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16.9</w:t>
            </w:r>
          </w:p>
        </w:tc>
        <w:tc>
          <w:tcPr>
            <w:tcW w:w="6828" w:type="dxa"/>
            <w:tcBorders>
              <w:top w:val="single" w:color="auto" w:sz="4" w:space="0"/>
              <w:left w:val="nil"/>
              <w:bottom w:val="single" w:color="auto" w:sz="4" w:space="0"/>
              <w:right w:val="single" w:color="auto" w:sz="4" w:space="0"/>
            </w:tcBorders>
            <w:vAlign w:val="center"/>
          </w:tcPr>
          <w:p w14:paraId="44793956">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具备置换液空管监测功能。</w:t>
            </w:r>
          </w:p>
        </w:tc>
      </w:tr>
      <w:tr w14:paraId="0D98C8A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99A33EA">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26D309D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16.10</w:t>
            </w:r>
          </w:p>
        </w:tc>
        <w:tc>
          <w:tcPr>
            <w:tcW w:w="6828" w:type="dxa"/>
            <w:tcBorders>
              <w:top w:val="single" w:color="auto" w:sz="4" w:space="0"/>
              <w:left w:val="nil"/>
              <w:bottom w:val="single" w:color="auto" w:sz="4" w:space="0"/>
              <w:right w:val="single" w:color="auto" w:sz="4" w:space="0"/>
            </w:tcBorders>
            <w:vAlign w:val="center"/>
          </w:tcPr>
          <w:p w14:paraId="6999F4A7">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整机电池：支持断电保护，断电时能继续运行至少15分钟，保证将体外血液安全回输给患者；恢复供电后应能够保留原先参数并继续分离。</w:t>
            </w:r>
          </w:p>
        </w:tc>
      </w:tr>
      <w:tr w14:paraId="38CA752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9BC3692">
            <w:pPr>
              <w:widowControl/>
              <w:spacing w:line="240" w:lineRule="auto"/>
              <w:jc w:val="center"/>
              <w:rPr>
                <w:rFonts w:hint="eastAsia" w:ascii="宋体" w:hAnsi="宋体" w:eastAsia="宋体" w:cs="宋体"/>
                <w:sz w:val="21"/>
                <w:szCs w:val="21"/>
                <w:lang w:bidi="lo-LA"/>
              </w:rPr>
            </w:pPr>
          </w:p>
        </w:tc>
        <w:tc>
          <w:tcPr>
            <w:tcW w:w="983" w:type="dxa"/>
            <w:tcBorders>
              <w:top w:val="single" w:color="auto" w:sz="4" w:space="0"/>
              <w:left w:val="nil"/>
              <w:bottom w:val="single" w:color="auto" w:sz="4" w:space="0"/>
              <w:right w:val="single" w:color="auto" w:sz="4" w:space="0"/>
            </w:tcBorders>
            <w:vAlign w:val="center"/>
          </w:tcPr>
          <w:p w14:paraId="593CA5D7">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17</w:t>
            </w:r>
          </w:p>
        </w:tc>
        <w:tc>
          <w:tcPr>
            <w:tcW w:w="6828" w:type="dxa"/>
            <w:tcBorders>
              <w:top w:val="single" w:color="auto" w:sz="4" w:space="0"/>
              <w:left w:val="nil"/>
              <w:bottom w:val="single" w:color="auto" w:sz="4" w:space="0"/>
              <w:right w:val="single" w:color="auto" w:sz="4" w:space="0"/>
            </w:tcBorders>
            <w:vAlign w:val="center"/>
          </w:tcPr>
          <w:p w14:paraId="6056126C">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说明书或设备标签上规定的设备使用年限：≥8年。</w:t>
            </w:r>
          </w:p>
        </w:tc>
      </w:tr>
      <w:tr w14:paraId="134B9C1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015CB32">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983" w:type="dxa"/>
            <w:tcBorders>
              <w:top w:val="single" w:color="auto" w:sz="4" w:space="0"/>
              <w:left w:val="nil"/>
              <w:bottom w:val="single" w:color="auto" w:sz="4" w:space="0"/>
              <w:right w:val="single" w:color="auto" w:sz="4" w:space="0"/>
            </w:tcBorders>
            <w:shd w:val="clear" w:color="auto" w:fill="auto"/>
            <w:vAlign w:val="center"/>
          </w:tcPr>
          <w:p w14:paraId="18A4D37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18</w:t>
            </w:r>
          </w:p>
        </w:tc>
        <w:tc>
          <w:tcPr>
            <w:tcW w:w="6828" w:type="dxa"/>
            <w:tcBorders>
              <w:top w:val="single" w:color="auto" w:sz="4" w:space="0"/>
              <w:left w:val="nil"/>
              <w:bottom w:val="single" w:color="auto" w:sz="4" w:space="0"/>
              <w:right w:val="single" w:color="auto" w:sz="4" w:space="0"/>
            </w:tcBorders>
            <w:shd w:val="clear" w:color="auto" w:fill="auto"/>
            <w:vAlign w:val="center"/>
          </w:tcPr>
          <w:p w14:paraId="21D58CBD">
            <w:pPr>
              <w:spacing w:line="240" w:lineRule="auto"/>
              <w:rPr>
                <w:rFonts w:hint="eastAsia" w:ascii="宋体" w:hAnsi="宋体" w:eastAsia="宋体" w:cs="宋体"/>
                <w:bCs/>
                <w:sz w:val="21"/>
                <w:szCs w:val="21"/>
              </w:rPr>
            </w:pPr>
            <w:r>
              <w:rPr>
                <w:rFonts w:hint="eastAsia" w:ascii="宋体" w:hAnsi="宋体" w:eastAsia="宋体" w:cs="宋体"/>
                <w:bCs/>
                <w:sz w:val="21"/>
                <w:szCs w:val="21"/>
                <w:lang w:val="en-US" w:eastAsia="zh-CN"/>
              </w:rPr>
              <w:t>配套用一次性医用耗材须进入内蒙古药品和医用耗材招采管理系统</w:t>
            </w:r>
            <w:r>
              <w:rPr>
                <w:rFonts w:hint="eastAsia" w:ascii="宋体" w:hAnsi="宋体" w:eastAsia="宋体" w:cs="宋体"/>
                <w:bCs/>
                <w:sz w:val="21"/>
                <w:szCs w:val="21"/>
              </w:rPr>
              <w:t>。</w:t>
            </w:r>
          </w:p>
        </w:tc>
      </w:tr>
      <w:tr w14:paraId="0D12D74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2D75F37">
            <w:pPr>
              <w:widowControl/>
              <w:spacing w:line="240" w:lineRule="auto"/>
              <w:jc w:val="center"/>
              <w:rPr>
                <w:rFonts w:hint="eastAsia" w:ascii="宋体" w:hAnsi="宋体" w:eastAsia="宋体" w:cs="宋体"/>
                <w:kern w:val="0"/>
                <w:sz w:val="21"/>
                <w:szCs w:val="21"/>
              </w:rPr>
            </w:pPr>
            <w:r>
              <w:rPr>
                <w:rFonts w:hint="eastAsia" w:ascii="宋体" w:hAnsi="宋体" w:eastAsia="宋体" w:cs="宋体"/>
                <w:sz w:val="21"/>
                <w:szCs w:val="21"/>
              </w:rPr>
              <w:t>★</w:t>
            </w:r>
          </w:p>
        </w:tc>
        <w:tc>
          <w:tcPr>
            <w:tcW w:w="983" w:type="dxa"/>
            <w:tcBorders>
              <w:top w:val="single" w:color="auto" w:sz="4" w:space="0"/>
              <w:left w:val="nil"/>
              <w:bottom w:val="single" w:color="auto" w:sz="4" w:space="0"/>
              <w:right w:val="single" w:color="auto" w:sz="4" w:space="0"/>
            </w:tcBorders>
            <w:shd w:val="clear" w:color="auto" w:fill="auto"/>
            <w:vAlign w:val="center"/>
          </w:tcPr>
          <w:p w14:paraId="4C6DBA3C">
            <w:pPr>
              <w:widowControl/>
              <w:spacing w:line="240" w:lineRule="auto"/>
              <w:jc w:val="center"/>
              <w:rPr>
                <w:rFonts w:hint="default" w:ascii="宋体" w:hAnsi="宋体" w:eastAsia="宋体" w:cs="宋体"/>
                <w:kern w:val="0"/>
                <w:sz w:val="21"/>
                <w:szCs w:val="21"/>
                <w:lang w:val="en-US" w:bidi="lo-LA"/>
              </w:rPr>
            </w:pPr>
            <w:r>
              <w:rPr>
                <w:rFonts w:hint="eastAsia" w:ascii="宋体" w:hAnsi="宋体" w:eastAsia="宋体" w:cs="宋体"/>
                <w:kern w:val="0"/>
                <w:sz w:val="21"/>
                <w:szCs w:val="21"/>
                <w:lang w:val="en-US" w:eastAsia="zh-CN" w:bidi="lo-LA"/>
              </w:rPr>
              <w:t>19</w:t>
            </w:r>
          </w:p>
        </w:tc>
        <w:tc>
          <w:tcPr>
            <w:tcW w:w="6828" w:type="dxa"/>
            <w:tcBorders>
              <w:top w:val="single" w:color="auto" w:sz="4" w:space="0"/>
              <w:left w:val="nil"/>
              <w:bottom w:val="single" w:color="auto" w:sz="4" w:space="0"/>
              <w:right w:val="single" w:color="auto" w:sz="4" w:space="0"/>
            </w:tcBorders>
            <w:shd w:val="clear" w:color="auto" w:fill="auto"/>
            <w:vAlign w:val="center"/>
          </w:tcPr>
          <w:p w14:paraId="15531FB7">
            <w:pPr>
              <w:widowControl/>
              <w:spacing w:line="240" w:lineRule="auto"/>
              <w:jc w:val="left"/>
              <w:rPr>
                <w:rFonts w:hint="eastAsia" w:ascii="宋体" w:hAnsi="宋体" w:eastAsia="宋体" w:cs="宋体"/>
                <w:sz w:val="21"/>
                <w:szCs w:val="21"/>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3265853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07EA816">
            <w:pPr>
              <w:widowControl/>
              <w:spacing w:line="240" w:lineRule="auto"/>
              <w:jc w:val="center"/>
              <w:rPr>
                <w:rFonts w:hint="eastAsia" w:ascii="宋体" w:hAnsi="宋体" w:eastAsia="宋体" w:cs="宋体"/>
                <w:kern w:val="0"/>
                <w:sz w:val="21"/>
                <w:szCs w:val="21"/>
              </w:rPr>
            </w:pPr>
            <w:r>
              <w:rPr>
                <w:rFonts w:hint="eastAsia" w:ascii="宋体" w:hAnsi="宋体" w:eastAsia="宋体" w:cs="宋体"/>
                <w:sz w:val="21"/>
                <w:szCs w:val="21"/>
              </w:rPr>
              <w:t>★</w:t>
            </w:r>
          </w:p>
        </w:tc>
        <w:tc>
          <w:tcPr>
            <w:tcW w:w="983" w:type="dxa"/>
            <w:tcBorders>
              <w:top w:val="single" w:color="auto" w:sz="4" w:space="0"/>
              <w:left w:val="nil"/>
              <w:bottom w:val="single" w:color="auto" w:sz="4" w:space="0"/>
              <w:right w:val="single" w:color="auto" w:sz="4" w:space="0"/>
            </w:tcBorders>
            <w:shd w:val="clear" w:color="auto" w:fill="auto"/>
            <w:vAlign w:val="center"/>
          </w:tcPr>
          <w:p w14:paraId="08E3B6C1">
            <w:pPr>
              <w:widowControl/>
              <w:spacing w:line="240" w:lineRule="auto"/>
              <w:jc w:val="center"/>
              <w:rPr>
                <w:rFonts w:hint="default" w:ascii="宋体" w:hAnsi="宋体" w:eastAsia="宋体" w:cs="宋体"/>
                <w:kern w:val="0"/>
                <w:sz w:val="21"/>
                <w:szCs w:val="21"/>
                <w:lang w:val="en-US" w:bidi="lo-LA"/>
              </w:rPr>
            </w:pPr>
            <w:r>
              <w:rPr>
                <w:rFonts w:hint="eastAsia" w:ascii="宋体" w:hAnsi="宋体" w:eastAsia="宋体" w:cs="宋体"/>
                <w:kern w:val="0"/>
                <w:sz w:val="21"/>
                <w:szCs w:val="21"/>
                <w:lang w:val="en-US" w:eastAsia="zh-CN" w:bidi="lo-LA"/>
              </w:rPr>
              <w:t>20</w:t>
            </w:r>
          </w:p>
        </w:tc>
        <w:tc>
          <w:tcPr>
            <w:tcW w:w="6828" w:type="dxa"/>
            <w:tcBorders>
              <w:top w:val="single" w:color="auto" w:sz="4" w:space="0"/>
              <w:left w:val="nil"/>
              <w:bottom w:val="single" w:color="auto" w:sz="4" w:space="0"/>
              <w:right w:val="single" w:color="auto" w:sz="4" w:space="0"/>
            </w:tcBorders>
            <w:shd w:val="clear" w:color="auto" w:fill="auto"/>
            <w:vAlign w:val="center"/>
          </w:tcPr>
          <w:p w14:paraId="14D86A3E">
            <w:pPr>
              <w:spacing w:line="240" w:lineRule="auto"/>
              <w:rPr>
                <w:rFonts w:hint="eastAsia" w:ascii="宋体" w:hAnsi="宋体" w:eastAsia="宋体" w:cs="宋体"/>
                <w:sz w:val="21"/>
                <w:szCs w:val="21"/>
                <w:lang w:val="en-US"/>
              </w:rPr>
            </w:pPr>
            <w:r>
              <w:rPr>
                <w:rFonts w:hint="eastAsia" w:ascii="宋体" w:hAnsi="宋体" w:eastAsia="宋体" w:cs="宋体"/>
                <w:color w:val="000000"/>
                <w:sz w:val="21"/>
                <w:szCs w:val="21"/>
              </w:rPr>
              <w:t>投标文件中须附明单套设备配置清单。</w:t>
            </w:r>
          </w:p>
        </w:tc>
      </w:tr>
      <w:tr w14:paraId="746ADF7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23AC05B">
            <w:pPr>
              <w:widowControl/>
              <w:spacing w:line="240" w:lineRule="auto"/>
              <w:jc w:val="center"/>
              <w:rPr>
                <w:rFonts w:hint="eastAsia" w:ascii="宋体" w:hAnsi="宋体" w:eastAsia="宋体" w:cs="宋体"/>
                <w:kern w:val="0"/>
                <w:sz w:val="21"/>
                <w:szCs w:val="21"/>
              </w:rPr>
            </w:pPr>
            <w:r>
              <w:rPr>
                <w:rFonts w:hint="eastAsia" w:ascii="宋体" w:hAnsi="宋体" w:eastAsia="宋体" w:cs="宋体"/>
                <w:sz w:val="21"/>
                <w:szCs w:val="21"/>
              </w:rPr>
              <w:t>★</w:t>
            </w:r>
          </w:p>
        </w:tc>
        <w:tc>
          <w:tcPr>
            <w:tcW w:w="983" w:type="dxa"/>
            <w:tcBorders>
              <w:top w:val="single" w:color="auto" w:sz="4" w:space="0"/>
              <w:left w:val="nil"/>
              <w:bottom w:val="single" w:color="auto" w:sz="4" w:space="0"/>
              <w:right w:val="single" w:color="auto" w:sz="4" w:space="0"/>
            </w:tcBorders>
            <w:shd w:val="clear" w:color="auto" w:fill="auto"/>
            <w:vAlign w:val="center"/>
          </w:tcPr>
          <w:p w14:paraId="40A1E4D1">
            <w:pPr>
              <w:widowControl/>
              <w:spacing w:line="240" w:lineRule="auto"/>
              <w:jc w:val="center"/>
              <w:rPr>
                <w:rFonts w:hint="default" w:ascii="宋体" w:hAnsi="宋体" w:eastAsia="宋体" w:cs="宋体"/>
                <w:kern w:val="0"/>
                <w:sz w:val="21"/>
                <w:szCs w:val="21"/>
                <w:lang w:val="en-US" w:bidi="lo-LA"/>
              </w:rPr>
            </w:pPr>
            <w:r>
              <w:rPr>
                <w:rFonts w:hint="eastAsia" w:ascii="宋体" w:hAnsi="宋体" w:eastAsia="宋体" w:cs="宋体"/>
                <w:kern w:val="0"/>
                <w:sz w:val="21"/>
                <w:szCs w:val="21"/>
                <w:lang w:val="en-US" w:eastAsia="zh-CN" w:bidi="lo-LA"/>
              </w:rPr>
              <w:t>21</w:t>
            </w:r>
          </w:p>
        </w:tc>
        <w:tc>
          <w:tcPr>
            <w:tcW w:w="6828" w:type="dxa"/>
            <w:tcBorders>
              <w:top w:val="single" w:color="auto" w:sz="4" w:space="0"/>
              <w:left w:val="nil"/>
              <w:bottom w:val="single" w:color="auto" w:sz="4" w:space="0"/>
              <w:right w:val="single" w:color="auto" w:sz="4" w:space="0"/>
            </w:tcBorders>
            <w:shd w:val="clear" w:color="auto" w:fill="auto"/>
            <w:vAlign w:val="center"/>
          </w:tcPr>
          <w:p w14:paraId="4CBE9C8E">
            <w:pPr>
              <w:spacing w:line="240" w:lineRule="auto"/>
              <w:rPr>
                <w:rFonts w:hint="eastAsia" w:ascii="宋体" w:hAnsi="宋体" w:eastAsia="宋体" w:cs="宋体"/>
                <w:sz w:val="21"/>
                <w:szCs w:val="21"/>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63A56A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B25FED0">
            <w:pPr>
              <w:widowControl/>
              <w:spacing w:line="240" w:lineRule="auto"/>
              <w:jc w:val="center"/>
              <w:rPr>
                <w:rFonts w:hint="eastAsia" w:ascii="宋体" w:hAnsi="宋体" w:eastAsia="宋体" w:cs="宋体"/>
                <w:kern w:val="0"/>
                <w:sz w:val="21"/>
                <w:szCs w:val="21"/>
              </w:rPr>
            </w:pPr>
            <w:r>
              <w:rPr>
                <w:rFonts w:hint="eastAsia" w:ascii="宋体" w:hAnsi="宋体" w:eastAsia="宋体" w:cs="宋体"/>
                <w:sz w:val="21"/>
                <w:szCs w:val="21"/>
              </w:rPr>
              <w:t>★</w:t>
            </w:r>
          </w:p>
        </w:tc>
        <w:tc>
          <w:tcPr>
            <w:tcW w:w="983" w:type="dxa"/>
            <w:tcBorders>
              <w:top w:val="single" w:color="auto" w:sz="4" w:space="0"/>
              <w:left w:val="nil"/>
              <w:bottom w:val="single" w:color="auto" w:sz="4" w:space="0"/>
              <w:right w:val="single" w:color="auto" w:sz="4" w:space="0"/>
            </w:tcBorders>
            <w:shd w:val="clear" w:color="auto" w:fill="auto"/>
            <w:vAlign w:val="center"/>
          </w:tcPr>
          <w:p w14:paraId="30ED0F4A">
            <w:pPr>
              <w:widowControl/>
              <w:spacing w:line="240" w:lineRule="auto"/>
              <w:jc w:val="center"/>
              <w:rPr>
                <w:rFonts w:hint="default" w:ascii="宋体" w:hAnsi="宋体" w:eastAsia="宋体" w:cs="宋体"/>
                <w:kern w:val="0"/>
                <w:sz w:val="21"/>
                <w:szCs w:val="21"/>
                <w:lang w:val="en-US" w:bidi="lo-LA"/>
              </w:rPr>
            </w:pPr>
            <w:r>
              <w:rPr>
                <w:rFonts w:hint="eastAsia" w:ascii="宋体" w:hAnsi="宋体" w:eastAsia="宋体" w:cs="宋体"/>
                <w:kern w:val="0"/>
                <w:sz w:val="21"/>
                <w:szCs w:val="21"/>
                <w:lang w:val="en-US" w:eastAsia="zh-CN" w:bidi="lo-LA"/>
              </w:rPr>
              <w:t>22</w:t>
            </w:r>
          </w:p>
        </w:tc>
        <w:tc>
          <w:tcPr>
            <w:tcW w:w="6828" w:type="dxa"/>
            <w:tcBorders>
              <w:top w:val="single" w:color="auto" w:sz="4" w:space="0"/>
              <w:left w:val="nil"/>
              <w:bottom w:val="single" w:color="auto" w:sz="4" w:space="0"/>
              <w:right w:val="single" w:color="auto" w:sz="4" w:space="0"/>
            </w:tcBorders>
            <w:shd w:val="clear" w:color="auto" w:fill="auto"/>
            <w:vAlign w:val="center"/>
          </w:tcPr>
          <w:p w14:paraId="4776002A">
            <w:pPr>
              <w:keepNext w:val="0"/>
              <w:keepLines w:val="0"/>
              <w:widowControl/>
              <w:suppressLineNumbers w:val="0"/>
              <w:jc w:val="left"/>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342FF55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870AEA0">
            <w:pPr>
              <w:widowControl/>
              <w:spacing w:line="240" w:lineRule="auto"/>
              <w:jc w:val="center"/>
              <w:rPr>
                <w:rFonts w:hint="eastAsia" w:ascii="宋体" w:hAnsi="宋体" w:eastAsia="宋体" w:cs="宋体"/>
                <w:kern w:val="0"/>
                <w:sz w:val="21"/>
                <w:szCs w:val="21"/>
                <w:lang w:bidi="lo-LA"/>
              </w:rPr>
            </w:pPr>
          </w:p>
        </w:tc>
        <w:tc>
          <w:tcPr>
            <w:tcW w:w="983" w:type="dxa"/>
            <w:tcBorders>
              <w:top w:val="single" w:color="auto" w:sz="4" w:space="0"/>
              <w:left w:val="nil"/>
              <w:bottom w:val="single" w:color="auto" w:sz="4" w:space="0"/>
              <w:right w:val="single" w:color="auto" w:sz="4" w:space="0"/>
            </w:tcBorders>
            <w:shd w:val="clear" w:color="auto" w:fill="auto"/>
            <w:vAlign w:val="center"/>
          </w:tcPr>
          <w:p w14:paraId="45AF556C">
            <w:pPr>
              <w:widowControl/>
              <w:spacing w:line="240" w:lineRule="auto"/>
              <w:jc w:val="center"/>
              <w:rPr>
                <w:rFonts w:hint="default" w:ascii="宋体" w:hAnsi="宋体" w:eastAsia="宋体" w:cs="宋体"/>
                <w:kern w:val="0"/>
                <w:sz w:val="21"/>
                <w:szCs w:val="21"/>
                <w:lang w:val="en-US" w:bidi="lo-LA"/>
              </w:rPr>
            </w:pPr>
            <w:r>
              <w:rPr>
                <w:rFonts w:hint="eastAsia" w:ascii="宋体" w:hAnsi="宋体" w:eastAsia="宋体" w:cs="宋体"/>
                <w:kern w:val="0"/>
                <w:sz w:val="21"/>
                <w:szCs w:val="21"/>
                <w:lang w:val="en-US" w:eastAsia="zh-CN" w:bidi="lo-LA"/>
              </w:rPr>
              <w:t>23</w:t>
            </w:r>
          </w:p>
        </w:tc>
        <w:tc>
          <w:tcPr>
            <w:tcW w:w="6828" w:type="dxa"/>
            <w:tcBorders>
              <w:top w:val="single" w:color="auto" w:sz="4" w:space="0"/>
              <w:left w:val="nil"/>
              <w:bottom w:val="single" w:color="auto" w:sz="4" w:space="0"/>
              <w:right w:val="single" w:color="auto" w:sz="4" w:space="0"/>
            </w:tcBorders>
            <w:shd w:val="clear" w:color="auto" w:fill="auto"/>
            <w:vAlign w:val="center"/>
          </w:tcPr>
          <w:p w14:paraId="4B357944">
            <w:pPr>
              <w:keepNext w:val="0"/>
              <w:keepLines w:val="0"/>
              <w:widowControl/>
              <w:suppressLineNumbers w:val="0"/>
              <w:jc w:val="left"/>
              <w:textAlignment w:val="center"/>
              <w:rPr>
                <w:rFonts w:hint="eastAsia" w:ascii="宋体" w:hAnsi="宋体" w:eastAsia="宋体" w:cs="宋体"/>
                <w:kern w:val="0"/>
                <w:sz w:val="21"/>
                <w:szCs w:val="21"/>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中标人所供设备的生产日期应距合同签订日期6个月以内。</w:t>
            </w:r>
          </w:p>
        </w:tc>
      </w:tr>
      <w:tr w14:paraId="36D92CFD">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5BEC0090">
            <w:pPr>
              <w:widowControl/>
              <w:spacing w:line="240" w:lineRule="auto"/>
              <w:jc w:val="left"/>
              <w:rPr>
                <w:rFonts w:hint="eastAsia" w:ascii="宋体" w:hAnsi="宋体" w:eastAsia="宋体" w:cs="宋体"/>
                <w:kern w:val="0"/>
                <w:sz w:val="21"/>
                <w:szCs w:val="21"/>
              </w:rPr>
            </w:pPr>
            <w:r>
              <w:rPr>
                <w:rFonts w:hint="eastAsia" w:ascii="宋体" w:hAnsi="宋体" w:eastAsia="宋体" w:cs="宋体"/>
                <w:sz w:val="21"/>
                <w:szCs w:val="21"/>
              </w:rPr>
              <w:t>注：1.“参数性质”标“★”表示此参数为主要技术参数，任意一条不满足或负偏离则导致响应无效；</w:t>
            </w:r>
          </w:p>
        </w:tc>
      </w:tr>
    </w:tbl>
    <w:p w14:paraId="42D9221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20FDF7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7171AF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56</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44</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56</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54</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44</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共44项，完全响应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44</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的1</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7880</Words>
  <Characters>8933</Characters>
  <Lines>0</Lines>
  <Paragraphs>0</Paragraphs>
  <TotalTime>1</TotalTime>
  <ScaleCrop>false</ScaleCrop>
  <LinksUpToDate>false</LinksUpToDate>
  <CharactersWithSpaces>9292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2026-08-27T02:26:56Z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4249C2BE133843DDAFFC491E535A1964_13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