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3BBC88A">
      <w:pPr>
        <w:numPr>
          <w:ilvl w:val="0"/>
          <w:numId w:val="0"/>
        </w:numPr>
        <w:jc w:val="center"/>
        <w:rPr>
          <w:rFonts w:hint="eastAsia" w:ascii="宋体" w:hAnsi="宋体" w:eastAsia="宋体" w:cs="宋体"/>
          <w:b/>
          <w:i w:val="0"/>
          <w:caps/>
          <w:color w:val="333333"/>
          <w:spacing w:val="0"/>
          <w:sz w:val="36"/>
          <w:szCs w:val="36"/>
          <w:lang w:val="en-US" w:eastAsia="zh-CN"/>
        </w:rPr>
      </w:pPr>
      <w:bookmarkStart w:id="5" w:name="_GoBack"/>
      <w:r>
        <w:rPr>
          <w:rFonts w:hint="eastAsia" w:ascii="宋体" w:hAnsi="宋体" w:eastAsia="宋体" w:cs="宋体"/>
          <w:b/>
          <w:i w:val="0"/>
          <w:caps/>
          <w:color w:val="333333"/>
          <w:spacing w:val="0"/>
          <w:sz w:val="36"/>
          <w:szCs w:val="36"/>
          <w:lang w:val="en-US" w:eastAsia="zh-CN"/>
        </w:rPr>
        <w:t>一氧化氮治疗仪等设备项目</w:t>
      </w:r>
      <w:bookmarkEnd w:id="5"/>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2026年8月27日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08347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61ABC7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6DADD69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200C4AA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7AC799F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62E2691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47EFADF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E59D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83C071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0C8C772F">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一氧化氮治疗仪</w:t>
            </w:r>
          </w:p>
        </w:tc>
        <w:tc>
          <w:tcPr>
            <w:tcW w:w="1200" w:type="dxa"/>
            <w:vAlign w:val="center"/>
          </w:tcPr>
          <w:p w14:paraId="35C7F484">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台</w:t>
            </w:r>
          </w:p>
        </w:tc>
        <w:tc>
          <w:tcPr>
            <w:tcW w:w="1079" w:type="dxa"/>
            <w:vAlign w:val="center"/>
          </w:tcPr>
          <w:p w14:paraId="2A5BB571">
            <w:pPr>
              <w:widowControl/>
              <w:spacing w:line="360" w:lineRule="auto"/>
              <w:jc w:val="center"/>
              <w:textAlignment w:val="center"/>
              <w:rPr>
                <w:rFonts w:hint="default"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w:t>
            </w:r>
          </w:p>
        </w:tc>
        <w:tc>
          <w:tcPr>
            <w:tcW w:w="1683" w:type="dxa"/>
            <w:vAlign w:val="center"/>
          </w:tcPr>
          <w:p w14:paraId="6638E75F">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350000</w:t>
            </w:r>
          </w:p>
        </w:tc>
        <w:tc>
          <w:tcPr>
            <w:tcW w:w="1650" w:type="dxa"/>
            <w:vAlign w:val="center"/>
          </w:tcPr>
          <w:p w14:paraId="22879878">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350000</w:t>
            </w:r>
          </w:p>
        </w:tc>
      </w:tr>
      <w:tr w14:paraId="1ED27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4A309D4">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707A6801">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手术床</w:t>
            </w:r>
          </w:p>
        </w:tc>
        <w:tc>
          <w:tcPr>
            <w:tcW w:w="1200" w:type="dxa"/>
            <w:vAlign w:val="center"/>
          </w:tcPr>
          <w:p w14:paraId="21FD2D01">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台</w:t>
            </w:r>
          </w:p>
        </w:tc>
        <w:tc>
          <w:tcPr>
            <w:tcW w:w="1079" w:type="dxa"/>
            <w:vAlign w:val="center"/>
          </w:tcPr>
          <w:p w14:paraId="0B90DEBF">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w:t>
            </w:r>
          </w:p>
        </w:tc>
        <w:tc>
          <w:tcPr>
            <w:tcW w:w="1683" w:type="dxa"/>
            <w:vAlign w:val="center"/>
          </w:tcPr>
          <w:p w14:paraId="2B1B31D3">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150000</w:t>
            </w:r>
          </w:p>
        </w:tc>
        <w:tc>
          <w:tcPr>
            <w:tcW w:w="1650" w:type="dxa"/>
            <w:vAlign w:val="center"/>
          </w:tcPr>
          <w:p w14:paraId="06FA2651">
            <w:pPr>
              <w:widowControl/>
              <w:spacing w:line="360" w:lineRule="auto"/>
              <w:jc w:val="center"/>
              <w:textAlignment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300000</w:t>
            </w:r>
          </w:p>
        </w:tc>
      </w:tr>
      <w:tr w14:paraId="1EEDC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BFBEAE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7023DD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04FC921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650000</w:t>
            </w:r>
          </w:p>
        </w:tc>
      </w:tr>
      <w:tr w14:paraId="5BB8F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A634FA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7859FA5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583ED90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74AEA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5A0F72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07B7955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3C42FB1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557B5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1091" w:type="dxa"/>
            <w:vAlign w:val="center"/>
          </w:tcPr>
          <w:p w14:paraId="1B1E73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3918CD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132754FB">
            <w:pPr>
              <w:widowControl/>
              <w:jc w:val="both"/>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19B86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68EBBD7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D6D401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AC505A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4CAFA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B807DB7">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B83B15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16F62768">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15672358">
      <w:pPr>
        <w:rPr>
          <w:rFonts w:hint="eastAsia" w:hAnsi="宋体"/>
          <w:sz w:val="24"/>
          <w:szCs w:val="24"/>
          <w:lang w:val="en-US" w:eastAsia="zh-CN"/>
        </w:rPr>
      </w:pPr>
    </w:p>
    <w:p w14:paraId="523AC23F">
      <w:pPr>
        <w:rPr>
          <w:rFonts w:hint="eastAsia" w:hAnsi="宋体"/>
          <w:sz w:val="24"/>
          <w:szCs w:val="24"/>
          <w:lang w:val="en-US" w:eastAsia="zh-CN"/>
        </w:rPr>
      </w:pPr>
    </w:p>
    <w:p w14:paraId="6E7E1C8B">
      <w:pPr>
        <w:rPr>
          <w:rFonts w:hint="eastAsia" w:hAnsi="宋体"/>
          <w:sz w:val="24"/>
          <w:szCs w:val="24"/>
          <w:lang w:val="en-US" w:eastAsia="zh-CN"/>
        </w:rPr>
      </w:pPr>
    </w:p>
    <w:p w14:paraId="4BB28087">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0EDF1D03">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4F903909">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台一氧化氮治疗仪，用于根据临床治疗需求生成医疗级别的NO并且精准注入患者呼吸管路中，达到扩张肺小动脉的治疗目标，有效的改善肺动脉高压、顽固性低氧血症等；2台手术床，要求适用于各科手术需求。</w:t>
      </w:r>
    </w:p>
    <w:p w14:paraId="0813ECB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7119EC61">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1.一氧化氮治疗仪</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014B3536">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83AC37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1E4DC799">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1846CB37">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39E6530C">
        <w:tblPrEx>
          <w:tblCellMar>
            <w:top w:w="0" w:type="dxa"/>
            <w:left w:w="108" w:type="dxa"/>
            <w:bottom w:w="0" w:type="dxa"/>
            <w:right w:w="108" w:type="dxa"/>
          </w:tblCellMar>
        </w:tblPrEx>
        <w:trPr>
          <w:trHeight w:val="9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469DD7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600252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32AA4D0D">
            <w:pPr>
              <w:widowControl/>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设备可用于新生儿、儿童、成人的治疗需求，根据临床治疗需求使用医疗级别的NO并注入患者呼吸管路中，达到扩张肺小动脉的治疗目的，能够有效改善肺动脉高压、顽固性低氧血症等。</w:t>
            </w:r>
          </w:p>
        </w:tc>
      </w:tr>
      <w:tr w14:paraId="1A5DC55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F3B761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A0233F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165C409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治疗用一氧化氮</w:t>
            </w:r>
            <w:r>
              <w:rPr>
                <w:rFonts w:hint="eastAsia" w:ascii="宋体" w:hAnsi="宋体" w:eastAsia="宋体" w:cs="宋体"/>
                <w:sz w:val="21"/>
                <w:szCs w:val="21"/>
                <w:lang w:eastAsia="zh-CN"/>
              </w:rPr>
              <w:t>（</w:t>
            </w:r>
            <w:r>
              <w:rPr>
                <w:rFonts w:hint="eastAsia" w:ascii="宋体" w:hAnsi="宋体" w:eastAsia="宋体" w:cs="宋体"/>
                <w:sz w:val="21"/>
                <w:szCs w:val="21"/>
              </w:rPr>
              <w:t>NO</w:t>
            </w:r>
            <w:r>
              <w:rPr>
                <w:rFonts w:hint="eastAsia" w:ascii="宋体" w:hAnsi="宋体" w:eastAsia="宋体" w:cs="宋体"/>
                <w:sz w:val="21"/>
                <w:szCs w:val="21"/>
                <w:lang w:eastAsia="zh-CN"/>
              </w:rPr>
              <w:t>）</w:t>
            </w:r>
            <w:r>
              <w:rPr>
                <w:rFonts w:hint="eastAsia" w:ascii="宋体" w:hAnsi="宋体" w:eastAsia="宋体" w:cs="宋体"/>
                <w:sz w:val="21"/>
                <w:szCs w:val="21"/>
              </w:rPr>
              <w:t>气体来源：设备</w:t>
            </w:r>
            <w:r>
              <w:rPr>
                <w:rFonts w:hint="eastAsia" w:ascii="宋体" w:hAnsi="宋体" w:eastAsia="宋体" w:cs="宋体"/>
                <w:sz w:val="21"/>
                <w:szCs w:val="21"/>
                <w:lang w:val="en-US" w:eastAsia="zh-CN"/>
              </w:rPr>
              <w:t>电化学反应即时生成</w:t>
            </w:r>
            <w:r>
              <w:rPr>
                <w:rFonts w:hint="eastAsia" w:ascii="宋体" w:hAnsi="宋体" w:eastAsia="宋体" w:cs="宋体"/>
                <w:sz w:val="21"/>
                <w:szCs w:val="21"/>
              </w:rPr>
              <w:t>或</w:t>
            </w:r>
            <w:r>
              <w:rPr>
                <w:rFonts w:hint="eastAsia" w:ascii="宋体" w:hAnsi="宋体" w:eastAsia="宋体" w:cs="宋体"/>
                <w:sz w:val="21"/>
                <w:szCs w:val="21"/>
                <w:lang w:val="en-US" w:eastAsia="zh-CN"/>
              </w:rPr>
              <w:t>由</w:t>
            </w:r>
            <w:r>
              <w:rPr>
                <w:rFonts w:hint="eastAsia" w:ascii="宋体" w:hAnsi="宋体" w:eastAsia="宋体" w:cs="宋体"/>
                <w:color w:val="auto"/>
                <w:sz w:val="21"/>
                <w:szCs w:val="21"/>
              </w:rPr>
              <w:t>NO标准气体</w:t>
            </w:r>
            <w:r>
              <w:rPr>
                <w:rFonts w:hint="eastAsia" w:ascii="宋体" w:hAnsi="宋体" w:eastAsia="宋体" w:cs="宋体"/>
                <w:color w:val="auto"/>
                <w:sz w:val="21"/>
                <w:szCs w:val="21"/>
                <w:lang w:val="en-US" w:eastAsia="zh-CN"/>
              </w:rPr>
              <w:t>储气罐提供</w:t>
            </w:r>
            <w:r>
              <w:rPr>
                <w:rFonts w:hint="eastAsia" w:ascii="宋体" w:hAnsi="宋体" w:eastAsia="宋体" w:cs="宋体"/>
                <w:sz w:val="21"/>
                <w:szCs w:val="21"/>
              </w:rPr>
              <w:t>。即时</w:t>
            </w:r>
            <w:r>
              <w:rPr>
                <w:rFonts w:hint="eastAsia" w:ascii="宋体" w:hAnsi="宋体" w:eastAsia="宋体" w:cs="宋体"/>
                <w:sz w:val="21"/>
                <w:szCs w:val="21"/>
                <w:lang w:val="en-US" w:eastAsia="zh-CN"/>
              </w:rPr>
              <w:t>生成</w:t>
            </w:r>
            <w:r>
              <w:rPr>
                <w:rFonts w:hint="eastAsia" w:ascii="宋体" w:hAnsi="宋体" w:eastAsia="宋体" w:cs="宋体"/>
                <w:color w:val="auto"/>
                <w:sz w:val="21"/>
                <w:szCs w:val="21"/>
              </w:rPr>
              <w:t>NO</w:t>
            </w:r>
            <w:r>
              <w:rPr>
                <w:rFonts w:hint="eastAsia" w:ascii="宋体" w:hAnsi="宋体" w:eastAsia="宋体" w:cs="宋体"/>
                <w:sz w:val="21"/>
                <w:szCs w:val="21"/>
                <w:lang w:val="en-US" w:eastAsia="zh-CN"/>
              </w:rPr>
              <w:t>时不能产生</w:t>
            </w:r>
            <w:r>
              <w:rPr>
                <w:rFonts w:hint="eastAsia" w:ascii="宋体" w:hAnsi="宋体" w:eastAsia="宋体" w:cs="宋体"/>
                <w:sz w:val="21"/>
                <w:szCs w:val="21"/>
              </w:rPr>
              <w:t>有害气体</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包括</w:t>
            </w:r>
            <w:r>
              <w:rPr>
                <w:rFonts w:hint="eastAsia" w:ascii="宋体" w:hAnsi="宋体" w:eastAsia="宋体" w:cs="宋体"/>
                <w:sz w:val="21"/>
                <w:szCs w:val="21"/>
              </w:rPr>
              <w:t>NO2</w:t>
            </w:r>
            <w:r>
              <w:rPr>
                <w:rFonts w:hint="eastAsia" w:ascii="宋体" w:hAnsi="宋体" w:eastAsia="宋体" w:cs="宋体"/>
                <w:sz w:val="21"/>
                <w:szCs w:val="21"/>
                <w:lang w:val="en-US" w:eastAsia="zh-CN"/>
              </w:rPr>
              <w:t>和</w:t>
            </w:r>
            <w:r>
              <w:rPr>
                <w:rFonts w:hint="eastAsia" w:ascii="宋体" w:hAnsi="宋体" w:eastAsia="宋体" w:cs="宋体"/>
                <w:sz w:val="21"/>
                <w:szCs w:val="21"/>
              </w:rPr>
              <w:t>O3</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r>
              <w:rPr>
                <w:rFonts w:hint="eastAsia" w:ascii="宋体" w:hAnsi="宋体" w:eastAsia="宋体" w:cs="宋体"/>
                <w:sz w:val="21"/>
                <w:szCs w:val="21"/>
              </w:rPr>
              <w:t>对患者与医护人员无安全隐患</w:t>
            </w:r>
            <w:r>
              <w:rPr>
                <w:rFonts w:hint="eastAsia" w:ascii="宋体" w:hAnsi="宋体" w:eastAsia="宋体" w:cs="宋体"/>
                <w:sz w:val="21"/>
                <w:szCs w:val="21"/>
                <w:lang w:eastAsia="zh-CN"/>
              </w:rPr>
              <w:t>。</w:t>
            </w:r>
          </w:p>
        </w:tc>
      </w:tr>
      <w:tr w14:paraId="72DFE55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A7D746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7F4B58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EA710F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设备须用99.9%的氮气（N2）作为载气，避免空气中氧气对NO氧化</w:t>
            </w:r>
            <w:r>
              <w:rPr>
                <w:rFonts w:hint="eastAsia" w:ascii="宋体" w:hAnsi="宋体" w:eastAsia="宋体" w:cs="宋体"/>
                <w:sz w:val="21"/>
                <w:szCs w:val="21"/>
                <w:lang w:val="en-US" w:eastAsia="zh-CN"/>
              </w:rPr>
              <w:t>而</w:t>
            </w:r>
            <w:r>
              <w:rPr>
                <w:rFonts w:hint="eastAsia" w:ascii="宋体" w:hAnsi="宋体" w:eastAsia="宋体" w:cs="宋体"/>
                <w:sz w:val="21"/>
                <w:szCs w:val="21"/>
              </w:rPr>
              <w:t>产生NO2</w:t>
            </w:r>
            <w:r>
              <w:rPr>
                <w:rFonts w:hint="eastAsia" w:ascii="宋体" w:hAnsi="宋体" w:eastAsia="宋体" w:cs="宋体"/>
                <w:sz w:val="21"/>
                <w:szCs w:val="21"/>
                <w:lang w:eastAsia="zh-CN"/>
              </w:rPr>
              <w:t>。</w:t>
            </w:r>
          </w:p>
        </w:tc>
      </w:tr>
      <w:tr w14:paraId="72831351">
        <w:tblPrEx>
          <w:tblCellMar>
            <w:top w:w="0" w:type="dxa"/>
            <w:left w:w="108" w:type="dxa"/>
            <w:bottom w:w="0" w:type="dxa"/>
            <w:right w:w="108" w:type="dxa"/>
          </w:tblCellMar>
        </w:tblPrEx>
        <w:trPr>
          <w:trHeight w:val="417"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6431A6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CFC2F7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299D808B">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设备NO输出浓度手动设置范围：0-90</w:t>
            </w:r>
            <w:r>
              <w:rPr>
                <w:rFonts w:hint="eastAsia" w:ascii="宋体" w:hAnsi="宋体" w:eastAsia="宋体" w:cs="宋体"/>
                <w:color w:val="auto"/>
                <w:sz w:val="21"/>
                <w:szCs w:val="21"/>
              </w:rPr>
              <w:t>ppm</w:t>
            </w:r>
            <w:r>
              <w:rPr>
                <w:rFonts w:hint="eastAsia" w:ascii="宋体" w:hAnsi="宋体" w:eastAsia="宋体" w:cs="宋体"/>
                <w:sz w:val="21"/>
                <w:szCs w:val="21"/>
              </w:rPr>
              <w:t>。根据最新指南推荐，针对部分特殊患者治疗需求，最大输出浓度</w:t>
            </w:r>
            <w:r>
              <w:rPr>
                <w:rFonts w:hint="eastAsia" w:ascii="宋体" w:hAnsi="宋体" w:eastAsia="宋体" w:cs="宋体"/>
                <w:sz w:val="21"/>
                <w:szCs w:val="21"/>
                <w:lang w:val="en-US" w:eastAsia="zh-CN"/>
              </w:rPr>
              <w:t>应能</w:t>
            </w:r>
            <w:r>
              <w:rPr>
                <w:rFonts w:hint="eastAsia" w:ascii="宋体" w:hAnsi="宋体" w:eastAsia="宋体" w:cs="宋体"/>
                <w:sz w:val="21"/>
                <w:szCs w:val="21"/>
              </w:rPr>
              <w:t>达</w:t>
            </w:r>
            <w:r>
              <w:rPr>
                <w:rFonts w:hint="eastAsia" w:ascii="宋体" w:hAnsi="宋体" w:eastAsia="宋体" w:cs="宋体"/>
                <w:sz w:val="21"/>
                <w:szCs w:val="21"/>
                <w:lang w:val="en-US" w:eastAsia="zh-CN"/>
              </w:rPr>
              <w:t>到</w:t>
            </w:r>
            <w:r>
              <w:rPr>
                <w:rFonts w:hint="eastAsia" w:ascii="宋体" w:hAnsi="宋体" w:eastAsia="宋体" w:cs="宋体"/>
                <w:sz w:val="21"/>
                <w:szCs w:val="21"/>
              </w:rPr>
              <w:t>180</w:t>
            </w:r>
            <w:r>
              <w:rPr>
                <w:rFonts w:hint="eastAsia" w:ascii="宋体" w:hAnsi="宋体" w:eastAsia="宋体" w:cs="宋体"/>
                <w:color w:val="auto"/>
                <w:sz w:val="21"/>
                <w:szCs w:val="21"/>
              </w:rPr>
              <w:t>ppm</w:t>
            </w:r>
            <w:r>
              <w:rPr>
                <w:rFonts w:hint="eastAsia" w:ascii="宋体" w:hAnsi="宋体" w:eastAsia="宋体" w:cs="宋体"/>
                <w:sz w:val="21"/>
                <w:szCs w:val="21"/>
                <w:lang w:eastAsia="zh-CN"/>
              </w:rPr>
              <w:t>。</w:t>
            </w:r>
          </w:p>
        </w:tc>
      </w:tr>
      <w:tr w14:paraId="5AEFAD0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2C265C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314A20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54E8296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设备</w:t>
            </w:r>
            <w:r>
              <w:rPr>
                <w:rFonts w:hint="eastAsia" w:ascii="宋体" w:hAnsi="宋体" w:eastAsia="宋体" w:cs="宋体"/>
                <w:sz w:val="21"/>
                <w:szCs w:val="21"/>
                <w:lang w:val="en-US" w:eastAsia="zh-CN"/>
              </w:rPr>
              <w:t>配置</w:t>
            </w:r>
            <w:r>
              <w:rPr>
                <w:rFonts w:hint="eastAsia" w:ascii="宋体" w:hAnsi="宋体" w:eastAsia="宋体" w:cs="宋体"/>
                <w:sz w:val="21"/>
                <w:szCs w:val="21"/>
              </w:rPr>
              <w:t>一氧化氮</w:t>
            </w:r>
            <w:r>
              <w:rPr>
                <w:rFonts w:hint="eastAsia" w:ascii="宋体" w:hAnsi="宋体" w:eastAsia="宋体" w:cs="宋体"/>
                <w:sz w:val="21"/>
                <w:szCs w:val="21"/>
                <w:lang w:eastAsia="zh-CN"/>
              </w:rPr>
              <w:t>（</w:t>
            </w:r>
            <w:r>
              <w:rPr>
                <w:rFonts w:hint="eastAsia" w:ascii="宋体" w:hAnsi="宋体" w:eastAsia="宋体" w:cs="宋体"/>
                <w:sz w:val="21"/>
                <w:szCs w:val="21"/>
              </w:rPr>
              <w:t>NO</w:t>
            </w:r>
            <w:r>
              <w:rPr>
                <w:rFonts w:hint="eastAsia" w:ascii="宋体" w:hAnsi="宋体" w:eastAsia="宋体" w:cs="宋体"/>
                <w:sz w:val="21"/>
                <w:szCs w:val="21"/>
                <w:lang w:eastAsia="zh-CN"/>
              </w:rPr>
              <w:t>）</w:t>
            </w:r>
            <w:r>
              <w:rPr>
                <w:rFonts w:hint="eastAsia" w:ascii="宋体" w:hAnsi="宋体" w:eastAsia="宋体" w:cs="宋体"/>
                <w:sz w:val="21"/>
                <w:szCs w:val="21"/>
              </w:rPr>
              <w:t>监测模块</w:t>
            </w:r>
            <w:r>
              <w:rPr>
                <w:rFonts w:hint="eastAsia" w:ascii="宋体" w:hAnsi="宋体" w:eastAsia="宋体" w:cs="宋体"/>
                <w:sz w:val="21"/>
                <w:szCs w:val="21"/>
                <w:lang w:eastAsia="zh-CN"/>
              </w:rPr>
              <w:t>、</w:t>
            </w:r>
            <w:r>
              <w:rPr>
                <w:rFonts w:hint="eastAsia" w:ascii="宋体" w:hAnsi="宋体" w:eastAsia="宋体" w:cs="宋体"/>
                <w:sz w:val="21"/>
                <w:szCs w:val="21"/>
              </w:rPr>
              <w:t>二氧化氮（NO2）监测模块和氧气（O2）监测模块</w:t>
            </w:r>
            <w:r>
              <w:rPr>
                <w:rFonts w:hint="eastAsia" w:ascii="宋体" w:hAnsi="宋体" w:eastAsia="宋体" w:cs="宋体"/>
                <w:sz w:val="21"/>
                <w:szCs w:val="21"/>
                <w:lang w:eastAsia="zh-CN"/>
              </w:rPr>
              <w:t>。</w:t>
            </w:r>
          </w:p>
        </w:tc>
      </w:tr>
      <w:tr w14:paraId="5315637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32C4AF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7F99A5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078563CB">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设备应</w:t>
            </w:r>
            <w:r>
              <w:rPr>
                <w:rFonts w:hint="eastAsia" w:ascii="宋体" w:hAnsi="宋体" w:eastAsia="宋体" w:cs="宋体"/>
                <w:sz w:val="21"/>
                <w:szCs w:val="21"/>
              </w:rPr>
              <w:t>符合最新临床专家共识推荐</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能够与</w:t>
            </w:r>
            <w:r>
              <w:rPr>
                <w:rFonts w:hint="eastAsia" w:ascii="宋体" w:hAnsi="宋体" w:eastAsia="宋体" w:cs="宋体"/>
                <w:sz w:val="21"/>
                <w:szCs w:val="21"/>
              </w:rPr>
              <w:t>有创</w:t>
            </w:r>
            <w:r>
              <w:rPr>
                <w:rFonts w:hint="eastAsia" w:ascii="宋体" w:hAnsi="宋体" w:eastAsia="宋体" w:cs="宋体"/>
                <w:sz w:val="21"/>
                <w:szCs w:val="21"/>
                <w:lang w:val="en-US" w:eastAsia="zh-CN"/>
              </w:rPr>
              <w:t>呼吸机</w:t>
            </w:r>
            <w:r>
              <w:rPr>
                <w:rFonts w:hint="eastAsia" w:ascii="宋体" w:hAnsi="宋体" w:eastAsia="宋体" w:cs="宋体"/>
                <w:sz w:val="21"/>
                <w:szCs w:val="21"/>
              </w:rPr>
              <w:t>、无创</w:t>
            </w:r>
            <w:r>
              <w:rPr>
                <w:rFonts w:hint="eastAsia" w:ascii="宋体" w:hAnsi="宋体" w:eastAsia="宋体" w:cs="宋体"/>
                <w:sz w:val="21"/>
                <w:szCs w:val="21"/>
                <w:lang w:val="en-US" w:eastAsia="zh-CN"/>
              </w:rPr>
              <w:t>呼吸机</w:t>
            </w:r>
            <w:r>
              <w:rPr>
                <w:rFonts w:hint="eastAsia" w:ascii="宋体" w:hAnsi="宋体" w:eastAsia="宋体" w:cs="宋体"/>
                <w:sz w:val="21"/>
                <w:szCs w:val="21"/>
              </w:rPr>
              <w:t>、高流量</w:t>
            </w:r>
            <w:r>
              <w:rPr>
                <w:rFonts w:hint="eastAsia" w:ascii="宋体" w:hAnsi="宋体" w:eastAsia="宋体" w:cs="宋体"/>
                <w:sz w:val="21"/>
                <w:szCs w:val="21"/>
                <w:lang w:val="en-US" w:eastAsia="zh-CN"/>
              </w:rPr>
              <w:t>呼吸湿化治疗仪</w:t>
            </w:r>
            <w:r>
              <w:rPr>
                <w:rFonts w:hint="eastAsia" w:ascii="宋体" w:hAnsi="宋体" w:eastAsia="宋体" w:cs="宋体"/>
                <w:sz w:val="21"/>
                <w:szCs w:val="21"/>
              </w:rPr>
              <w:t>等</w:t>
            </w:r>
            <w:r>
              <w:rPr>
                <w:rFonts w:hint="eastAsia" w:ascii="宋体" w:hAnsi="宋体" w:eastAsia="宋体" w:cs="宋体"/>
                <w:sz w:val="21"/>
                <w:szCs w:val="21"/>
                <w:lang w:val="en-US" w:eastAsia="zh-CN"/>
              </w:rPr>
              <w:t>生命支持类设备联合使用，</w:t>
            </w:r>
            <w:r>
              <w:rPr>
                <w:rFonts w:hint="eastAsia" w:ascii="宋体" w:hAnsi="宋体" w:eastAsia="宋体" w:cs="宋体"/>
                <w:sz w:val="21"/>
                <w:szCs w:val="21"/>
              </w:rPr>
              <w:t>气体采样监测位置与气体输注位置分离</w:t>
            </w:r>
            <w:r>
              <w:rPr>
                <w:rFonts w:hint="eastAsia" w:ascii="宋体" w:hAnsi="宋体" w:eastAsia="宋体" w:cs="宋体"/>
                <w:sz w:val="21"/>
                <w:szCs w:val="21"/>
                <w:lang w:eastAsia="zh-CN"/>
              </w:rPr>
              <w:t>，</w:t>
            </w:r>
            <w:r>
              <w:rPr>
                <w:rFonts w:hint="eastAsia" w:ascii="宋体" w:hAnsi="宋体" w:eastAsia="宋体" w:cs="宋体"/>
                <w:sz w:val="21"/>
                <w:szCs w:val="21"/>
              </w:rPr>
              <w:t>且采样监测位置</w:t>
            </w:r>
            <w:r>
              <w:rPr>
                <w:rFonts w:hint="eastAsia" w:ascii="宋体" w:hAnsi="宋体" w:eastAsia="宋体" w:cs="宋体"/>
                <w:sz w:val="21"/>
                <w:szCs w:val="21"/>
                <w:lang w:val="en-US" w:eastAsia="zh-CN"/>
              </w:rPr>
              <w:t>应</w:t>
            </w:r>
            <w:r>
              <w:rPr>
                <w:rFonts w:hint="eastAsia" w:ascii="宋体" w:hAnsi="宋体" w:eastAsia="宋体" w:cs="宋体"/>
                <w:sz w:val="21"/>
                <w:szCs w:val="21"/>
              </w:rPr>
              <w:t>靠近患者端。</w:t>
            </w:r>
          </w:p>
        </w:tc>
      </w:tr>
      <w:tr w14:paraId="3F566B8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638525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0A2E32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1359DEC1">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auto"/>
                <w:sz w:val="21"/>
                <w:szCs w:val="21"/>
                <w:lang w:val="en-US" w:eastAsia="zh-CN"/>
              </w:rPr>
              <w:t>联合使用的</w:t>
            </w:r>
            <w:r>
              <w:rPr>
                <w:rFonts w:hint="eastAsia" w:ascii="宋体" w:hAnsi="宋体" w:eastAsia="宋体" w:cs="宋体"/>
                <w:color w:val="auto"/>
                <w:sz w:val="21"/>
                <w:szCs w:val="21"/>
              </w:rPr>
              <w:t>呼吸机</w:t>
            </w:r>
            <w:r>
              <w:rPr>
                <w:rFonts w:hint="eastAsia" w:ascii="宋体" w:hAnsi="宋体" w:eastAsia="宋体" w:cs="宋体"/>
                <w:sz w:val="21"/>
                <w:szCs w:val="21"/>
              </w:rPr>
              <w:t>在15</w:t>
            </w:r>
            <w:r>
              <w:rPr>
                <w:rFonts w:hint="eastAsia" w:ascii="宋体" w:hAnsi="宋体" w:eastAsia="宋体" w:cs="宋体"/>
                <w:color w:val="auto"/>
                <w:sz w:val="21"/>
                <w:szCs w:val="21"/>
              </w:rPr>
              <w:t>L</w:t>
            </w:r>
            <w:r>
              <w:rPr>
                <w:rFonts w:hint="eastAsia" w:ascii="宋体" w:hAnsi="宋体" w:eastAsia="宋体" w:cs="宋体"/>
                <w:color w:val="auto"/>
                <w:sz w:val="21"/>
                <w:szCs w:val="21"/>
                <w:lang w:val="en-US" w:eastAsia="zh-CN"/>
              </w:rPr>
              <w:t>/min</w:t>
            </w:r>
            <w:r>
              <w:rPr>
                <w:rFonts w:hint="eastAsia" w:ascii="宋体" w:hAnsi="宋体" w:eastAsia="宋体" w:cs="宋体"/>
                <w:sz w:val="21"/>
                <w:szCs w:val="21"/>
              </w:rPr>
              <w:t>流量下，设备NO最大输出浓度</w:t>
            </w:r>
            <w:r>
              <w:rPr>
                <w:rFonts w:hint="eastAsia" w:ascii="宋体" w:hAnsi="宋体" w:eastAsia="宋体" w:cs="宋体"/>
                <w:sz w:val="21"/>
                <w:szCs w:val="21"/>
                <w:lang w:val="en-US" w:eastAsia="zh-CN"/>
              </w:rPr>
              <w:t>应</w:t>
            </w:r>
            <w:r>
              <w:rPr>
                <w:rFonts w:hint="eastAsia" w:ascii="宋体" w:hAnsi="宋体" w:eastAsia="宋体" w:cs="宋体"/>
                <w:sz w:val="21"/>
                <w:szCs w:val="21"/>
              </w:rPr>
              <w:t>不低于</w:t>
            </w:r>
            <w:r>
              <w:rPr>
                <w:rFonts w:hint="eastAsia" w:ascii="宋体" w:hAnsi="宋体" w:eastAsia="宋体" w:cs="宋体"/>
                <w:color w:val="auto"/>
                <w:sz w:val="21"/>
                <w:szCs w:val="21"/>
              </w:rPr>
              <w:t>65ppm</w:t>
            </w:r>
            <w:r>
              <w:rPr>
                <w:rFonts w:hint="eastAsia" w:ascii="宋体" w:hAnsi="宋体" w:eastAsia="宋体" w:cs="宋体"/>
                <w:sz w:val="21"/>
                <w:szCs w:val="21"/>
              </w:rPr>
              <w:t>。</w:t>
            </w:r>
          </w:p>
        </w:tc>
      </w:tr>
      <w:tr w14:paraId="57C18C4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6B52066">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29BC0C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2E0FACCC">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为了降低一氧化氮输入对</w:t>
            </w:r>
            <w:r>
              <w:rPr>
                <w:rFonts w:hint="eastAsia" w:ascii="宋体" w:hAnsi="宋体" w:eastAsia="宋体" w:cs="宋体"/>
                <w:color w:val="auto"/>
                <w:sz w:val="21"/>
                <w:szCs w:val="21"/>
              </w:rPr>
              <w:t>呼吸机</w:t>
            </w:r>
            <w:r>
              <w:rPr>
                <w:rFonts w:hint="eastAsia" w:ascii="宋体" w:hAnsi="宋体" w:eastAsia="宋体" w:cs="宋体"/>
                <w:sz w:val="21"/>
                <w:szCs w:val="21"/>
              </w:rPr>
              <w:t>设置潮气量/氧浓度等参数</w:t>
            </w:r>
            <w:r>
              <w:rPr>
                <w:rFonts w:hint="eastAsia" w:ascii="宋体" w:hAnsi="宋体" w:eastAsia="宋体" w:cs="宋体"/>
                <w:sz w:val="21"/>
                <w:szCs w:val="21"/>
                <w:lang w:val="en-US" w:eastAsia="zh-CN"/>
              </w:rPr>
              <w:t>的</w:t>
            </w:r>
            <w:r>
              <w:rPr>
                <w:rFonts w:hint="eastAsia" w:ascii="宋体" w:hAnsi="宋体" w:eastAsia="宋体" w:cs="宋体"/>
                <w:sz w:val="21"/>
                <w:szCs w:val="21"/>
              </w:rPr>
              <w:t>影响，一氧化氮输入流量</w:t>
            </w:r>
            <w:r>
              <w:rPr>
                <w:rFonts w:hint="eastAsia" w:ascii="宋体" w:hAnsi="宋体" w:eastAsia="宋体" w:cs="宋体"/>
                <w:sz w:val="21"/>
                <w:szCs w:val="21"/>
                <w:lang w:val="en-US" w:eastAsia="zh-CN"/>
              </w:rPr>
              <w:t>应不大于</w:t>
            </w:r>
            <w:r>
              <w:rPr>
                <w:rFonts w:hint="eastAsia" w:ascii="宋体" w:hAnsi="宋体" w:eastAsia="宋体" w:cs="宋体"/>
                <w:sz w:val="21"/>
                <w:szCs w:val="21"/>
              </w:rPr>
              <w:t>1L/min。</w:t>
            </w:r>
          </w:p>
        </w:tc>
      </w:tr>
      <w:tr w14:paraId="1F1189E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2A4383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DC5363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26371950">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lang w:val="en-US" w:eastAsia="zh-CN"/>
              </w:rPr>
              <w:t>应</w:t>
            </w:r>
            <w:r>
              <w:rPr>
                <w:rFonts w:hint="eastAsia" w:ascii="宋体" w:hAnsi="宋体" w:eastAsia="宋体" w:cs="宋体"/>
                <w:sz w:val="21"/>
                <w:szCs w:val="21"/>
              </w:rPr>
              <w:t>满足最新指南推荐，NO吸入与患者吸入</w:t>
            </w:r>
            <w:r>
              <w:rPr>
                <w:rFonts w:hint="eastAsia" w:ascii="宋体" w:hAnsi="宋体" w:eastAsia="宋体" w:cs="宋体"/>
                <w:sz w:val="21"/>
                <w:szCs w:val="21"/>
                <w:lang w:val="en-US" w:eastAsia="zh-CN"/>
              </w:rPr>
              <w:t>同步通气</w:t>
            </w:r>
            <w:r>
              <w:rPr>
                <w:rFonts w:hint="eastAsia" w:ascii="宋体" w:hAnsi="宋体" w:eastAsia="宋体" w:cs="宋体"/>
                <w:sz w:val="21"/>
                <w:szCs w:val="21"/>
              </w:rPr>
              <w:t>。为保证NO注入准确性，配合有创、无创，高流量等通气模式，</w:t>
            </w:r>
            <w:r>
              <w:rPr>
                <w:rFonts w:hint="eastAsia" w:ascii="宋体" w:hAnsi="宋体" w:eastAsia="宋体" w:cs="宋体"/>
                <w:sz w:val="21"/>
                <w:szCs w:val="21"/>
                <w:lang w:val="en-US" w:eastAsia="zh-CN"/>
              </w:rPr>
              <w:t>设备应配备</w:t>
            </w:r>
            <w:r>
              <w:rPr>
                <w:rFonts w:hint="eastAsia" w:ascii="宋体" w:hAnsi="宋体" w:eastAsia="宋体" w:cs="宋体"/>
                <w:sz w:val="21"/>
                <w:szCs w:val="21"/>
              </w:rPr>
              <w:t>高精度流量传感器，同步注入NO。</w:t>
            </w:r>
          </w:p>
        </w:tc>
      </w:tr>
      <w:tr w14:paraId="15567EC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D54309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F3CD98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692D3B77">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报警级别：</w:t>
            </w:r>
            <w:r>
              <w:rPr>
                <w:rFonts w:hint="eastAsia" w:ascii="宋体" w:hAnsi="宋体" w:eastAsia="宋体" w:cs="宋体"/>
                <w:sz w:val="21"/>
                <w:szCs w:val="21"/>
                <w:lang w:val="en-US" w:eastAsia="zh-CN"/>
              </w:rPr>
              <w:t>至少</w:t>
            </w:r>
            <w:r>
              <w:rPr>
                <w:rFonts w:hint="eastAsia" w:ascii="宋体" w:hAnsi="宋体" w:eastAsia="宋体" w:cs="宋体"/>
                <w:sz w:val="21"/>
                <w:szCs w:val="21"/>
              </w:rPr>
              <w:t>分为高、中、低挡。</w:t>
            </w:r>
          </w:p>
        </w:tc>
      </w:tr>
      <w:tr w14:paraId="78D559B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0CB0181">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317ABC0C">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398ACC80">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报警控制：</w:t>
            </w:r>
            <w:r>
              <w:rPr>
                <w:rFonts w:hint="eastAsia" w:ascii="宋体" w:hAnsi="宋体" w:eastAsia="宋体" w:cs="宋体"/>
                <w:sz w:val="21"/>
                <w:szCs w:val="21"/>
                <w:lang w:val="en-US" w:eastAsia="zh-CN"/>
              </w:rPr>
              <w:t>设备</w:t>
            </w:r>
            <w:r>
              <w:rPr>
                <w:rFonts w:hint="eastAsia" w:ascii="宋体" w:hAnsi="宋体" w:eastAsia="宋体" w:cs="宋体"/>
                <w:sz w:val="21"/>
                <w:szCs w:val="21"/>
              </w:rPr>
              <w:t>支持用户对各参数（NO</w:t>
            </w:r>
            <w:r>
              <w:rPr>
                <w:rFonts w:hint="eastAsia" w:ascii="宋体" w:hAnsi="宋体" w:eastAsia="宋体" w:cs="宋体"/>
                <w:sz w:val="21"/>
                <w:szCs w:val="21"/>
                <w:lang w:eastAsia="zh-CN"/>
              </w:rPr>
              <w:t>、</w:t>
            </w:r>
            <w:r>
              <w:rPr>
                <w:rFonts w:hint="eastAsia" w:ascii="宋体" w:hAnsi="宋体" w:eastAsia="宋体" w:cs="宋体"/>
                <w:sz w:val="21"/>
                <w:szCs w:val="21"/>
              </w:rPr>
              <w:t>NO2</w:t>
            </w:r>
            <w:r>
              <w:rPr>
                <w:rFonts w:hint="eastAsia" w:ascii="宋体" w:hAnsi="宋体" w:eastAsia="宋体" w:cs="宋体"/>
                <w:sz w:val="21"/>
                <w:szCs w:val="21"/>
                <w:lang w:eastAsia="zh-CN"/>
              </w:rPr>
              <w:t>、</w:t>
            </w:r>
            <w:r>
              <w:rPr>
                <w:rFonts w:hint="eastAsia" w:ascii="宋体" w:hAnsi="宋体" w:eastAsia="宋体" w:cs="宋体"/>
                <w:sz w:val="21"/>
                <w:szCs w:val="21"/>
              </w:rPr>
              <w:t>O2)报警限进行手动设置。</w:t>
            </w:r>
          </w:p>
        </w:tc>
      </w:tr>
      <w:tr w14:paraId="41A003D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1F2BBA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9C91D6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722ACADA">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NO浓度监测范围：0ppm～200ppm</w:t>
            </w:r>
            <w:r>
              <w:rPr>
                <w:rFonts w:hint="eastAsia" w:ascii="宋体" w:hAnsi="宋体" w:eastAsia="宋体" w:cs="宋体"/>
                <w:sz w:val="21"/>
                <w:szCs w:val="21"/>
                <w:lang w:eastAsia="zh-CN"/>
              </w:rPr>
              <w:t>；</w:t>
            </w:r>
            <w:r>
              <w:rPr>
                <w:rFonts w:hint="eastAsia" w:ascii="宋体" w:hAnsi="宋体" w:eastAsia="宋体" w:cs="宋体"/>
                <w:sz w:val="21"/>
                <w:szCs w:val="21"/>
              </w:rPr>
              <w:t>NO2浓度监测范围：0ppm～50ppm</w:t>
            </w:r>
            <w:r>
              <w:rPr>
                <w:rFonts w:hint="eastAsia" w:ascii="宋体" w:hAnsi="宋体" w:eastAsia="宋体" w:cs="宋体"/>
                <w:sz w:val="21"/>
                <w:szCs w:val="21"/>
                <w:lang w:eastAsia="zh-CN"/>
              </w:rPr>
              <w:t>；</w:t>
            </w:r>
            <w:r>
              <w:rPr>
                <w:rFonts w:hint="eastAsia" w:ascii="宋体" w:hAnsi="宋体" w:eastAsia="宋体" w:cs="宋体"/>
                <w:sz w:val="21"/>
                <w:szCs w:val="21"/>
              </w:rPr>
              <w:t>监测精准度误差不超过读数的±4%或±1ppm</w:t>
            </w:r>
            <w:r>
              <w:rPr>
                <w:rFonts w:hint="eastAsia" w:ascii="宋体" w:hAnsi="宋体" w:eastAsia="宋体" w:cs="宋体"/>
                <w:sz w:val="21"/>
                <w:szCs w:val="21"/>
                <w:lang w:eastAsia="zh-CN"/>
              </w:rPr>
              <w:t>。</w:t>
            </w:r>
          </w:p>
        </w:tc>
      </w:tr>
      <w:tr w14:paraId="51D6B7B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4DD07B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1DE348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773F74F0">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NO报警上限：5ppm-100ppm</w:t>
            </w:r>
            <w:r>
              <w:rPr>
                <w:rFonts w:hint="eastAsia" w:ascii="宋体" w:hAnsi="宋体" w:eastAsia="宋体" w:cs="宋体"/>
                <w:sz w:val="21"/>
                <w:szCs w:val="21"/>
                <w:lang w:eastAsia="zh-CN"/>
              </w:rPr>
              <w:t>；</w:t>
            </w:r>
            <w:r>
              <w:rPr>
                <w:rFonts w:hint="eastAsia" w:ascii="宋体" w:hAnsi="宋体" w:eastAsia="宋体" w:cs="宋体"/>
                <w:sz w:val="21"/>
                <w:szCs w:val="21"/>
              </w:rPr>
              <w:t>NO报警下限：0ppm-99ppm</w:t>
            </w:r>
            <w:r>
              <w:rPr>
                <w:rFonts w:hint="eastAsia" w:ascii="宋体" w:hAnsi="宋体" w:eastAsia="宋体" w:cs="宋体"/>
                <w:sz w:val="21"/>
                <w:szCs w:val="21"/>
                <w:lang w:eastAsia="zh-CN"/>
              </w:rPr>
              <w:t>；</w:t>
            </w:r>
            <w:r>
              <w:rPr>
                <w:rFonts w:hint="eastAsia" w:ascii="宋体" w:hAnsi="宋体" w:eastAsia="宋体" w:cs="宋体"/>
                <w:sz w:val="21"/>
                <w:szCs w:val="21"/>
              </w:rPr>
              <w:t>可根据临床需要</w:t>
            </w:r>
            <w:r>
              <w:rPr>
                <w:rFonts w:hint="eastAsia" w:ascii="宋体" w:hAnsi="宋体" w:eastAsia="宋体" w:cs="宋体"/>
                <w:sz w:val="21"/>
                <w:szCs w:val="21"/>
                <w:lang w:eastAsia="zh-CN"/>
              </w:rPr>
              <w:t>，</w:t>
            </w:r>
            <w:r>
              <w:rPr>
                <w:rFonts w:hint="eastAsia" w:ascii="宋体" w:hAnsi="宋体" w:eastAsia="宋体" w:cs="宋体"/>
                <w:sz w:val="21"/>
                <w:szCs w:val="21"/>
              </w:rPr>
              <w:t>在范围内手动设置。</w:t>
            </w:r>
          </w:p>
        </w:tc>
      </w:tr>
      <w:tr w14:paraId="3E7F4AF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2A4909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69D1C1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3AD3AAB9">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NO2报警上限：0ppm-5ppm，可根据临床需要，在范围内手动设置。</w:t>
            </w:r>
          </w:p>
        </w:tc>
      </w:tr>
      <w:tr w14:paraId="34A175B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80F9E6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B8F3BB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5229A038">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设备可生成NO最高浓度≥3000ppm</w:t>
            </w:r>
            <w:r>
              <w:rPr>
                <w:rFonts w:hint="eastAsia" w:ascii="宋体" w:hAnsi="宋体" w:eastAsia="宋体" w:cs="宋体"/>
                <w:sz w:val="21"/>
                <w:szCs w:val="21"/>
                <w:lang w:eastAsia="zh-CN"/>
              </w:rPr>
              <w:t>。</w:t>
            </w:r>
          </w:p>
        </w:tc>
      </w:tr>
      <w:tr w14:paraId="6C3A422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911633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4E736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6D701646">
            <w:pPr>
              <w:numPr>
                <w:ilvl w:val="0"/>
                <w:numId w:val="0"/>
              </w:numPr>
              <w:spacing w:line="240" w:lineRule="auto"/>
              <w:ind w:leftChars="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设备</w:t>
            </w:r>
            <w:r>
              <w:rPr>
                <w:rFonts w:hint="eastAsia" w:ascii="宋体" w:hAnsi="宋体" w:eastAsia="宋体" w:cs="宋体"/>
                <w:sz w:val="21"/>
                <w:szCs w:val="21"/>
              </w:rPr>
              <w:t>内置锂电池，可在断电的情况下仍然能够保证仪器运行≥30分钟</w:t>
            </w:r>
            <w:r>
              <w:rPr>
                <w:rFonts w:hint="eastAsia" w:ascii="宋体" w:hAnsi="宋体" w:eastAsia="宋体" w:cs="宋体"/>
                <w:sz w:val="21"/>
                <w:szCs w:val="21"/>
                <w:lang w:eastAsia="zh-CN"/>
              </w:rPr>
              <w:t>。</w:t>
            </w:r>
          </w:p>
        </w:tc>
      </w:tr>
      <w:tr w14:paraId="450FFE9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33168B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CCDCF7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37DF8C9C">
            <w:pPr>
              <w:numPr>
                <w:ilvl w:val="0"/>
                <w:numId w:val="0"/>
              </w:numPr>
              <w:spacing w:line="240" w:lineRule="auto"/>
              <w:ind w:leftChars="0"/>
              <w:jc w:val="left"/>
              <w:rPr>
                <w:rFonts w:hint="eastAsia" w:ascii="宋体" w:hAnsi="宋体" w:eastAsia="宋体" w:cs="宋体"/>
                <w:sz w:val="21"/>
                <w:szCs w:val="21"/>
              </w:rPr>
            </w:pPr>
            <w:r>
              <w:rPr>
                <w:rFonts w:hint="eastAsia" w:ascii="宋体" w:hAnsi="宋体" w:eastAsia="宋体" w:cs="宋体"/>
                <w:sz w:val="21"/>
                <w:szCs w:val="21"/>
                <w:lang w:val="en-US" w:eastAsia="zh-CN"/>
              </w:rPr>
              <w:t>具备</w:t>
            </w:r>
            <w:r>
              <w:rPr>
                <w:rFonts w:hint="eastAsia" w:ascii="宋体" w:hAnsi="宋体" w:eastAsia="宋体" w:cs="宋体"/>
                <w:sz w:val="21"/>
                <w:szCs w:val="21"/>
              </w:rPr>
              <w:t>数据导出功能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可</w:t>
            </w:r>
            <w:r>
              <w:rPr>
                <w:rFonts w:hint="eastAsia" w:ascii="宋体" w:hAnsi="宋体" w:eastAsia="宋体" w:cs="宋体"/>
                <w:sz w:val="21"/>
                <w:szCs w:val="21"/>
              </w:rPr>
              <w:t>使用SD卡进行数据导出。</w:t>
            </w:r>
          </w:p>
        </w:tc>
      </w:tr>
      <w:tr w14:paraId="5CB2DEE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FD54A9D">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520997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3CA6ADCA">
            <w:pPr>
              <w:numPr>
                <w:ilvl w:val="0"/>
                <w:numId w:val="0"/>
              </w:numPr>
              <w:spacing w:line="240" w:lineRule="auto"/>
              <w:ind w:leftChars="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说明书或设备标签上规定的设备使用年限</w:t>
            </w:r>
            <w:r>
              <w:rPr>
                <w:rFonts w:hint="eastAsia" w:ascii="宋体" w:hAnsi="宋体" w:eastAsia="宋体" w:cs="宋体"/>
                <w:sz w:val="21"/>
                <w:szCs w:val="21"/>
              </w:rPr>
              <w:t>：≥7年</w:t>
            </w:r>
            <w:r>
              <w:rPr>
                <w:rFonts w:hint="eastAsia" w:ascii="宋体" w:hAnsi="宋体" w:eastAsia="宋体" w:cs="宋体"/>
                <w:sz w:val="21"/>
                <w:szCs w:val="21"/>
                <w:lang w:eastAsia="zh-CN"/>
              </w:rPr>
              <w:t>。</w:t>
            </w:r>
          </w:p>
        </w:tc>
      </w:tr>
      <w:tr w14:paraId="216B958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84EE4F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28A4DDE">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vAlign w:val="center"/>
          </w:tcPr>
          <w:p w14:paraId="345A413D">
            <w:pPr>
              <w:numPr>
                <w:ilvl w:val="0"/>
                <w:numId w:val="0"/>
              </w:numPr>
              <w:spacing w:line="240" w:lineRule="auto"/>
              <w:ind w:left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配置2套新生儿/儿童重复使用管路、1套成人重复使用管路。</w:t>
            </w:r>
          </w:p>
        </w:tc>
      </w:tr>
      <w:tr w14:paraId="5DC9FFF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B511F14">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FC8283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1B24B4">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0067AA5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4401AC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059E51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0B131B2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5BC436D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FAA22D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900C47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D68AB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6E815A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5F7731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CFA90B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7A7EE444">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4525007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96BBF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37C13E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shd w:val="clear" w:color="auto" w:fill="auto"/>
            <w:vAlign w:val="center"/>
          </w:tcPr>
          <w:p w14:paraId="6A37D660">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17D14C2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977D50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982CA8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shd w:val="clear" w:color="auto" w:fill="auto"/>
            <w:vAlign w:val="center"/>
          </w:tcPr>
          <w:p w14:paraId="21794074">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14A6D9D8">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959C58">
            <w:pPr>
              <w:numPr>
                <w:ilvl w:val="0"/>
                <w:numId w:val="0"/>
              </w:numPr>
              <w:spacing w:line="240" w:lineRule="auto"/>
              <w:ind w:leftChars="0"/>
              <w:jc w:val="left"/>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3BBD1AF1">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2.手术床</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4DDD3273">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62EE90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F3AB49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E2AEA9A">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F3831D3">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5340231">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AB42B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w:t>
            </w:r>
          </w:p>
        </w:tc>
        <w:tc>
          <w:tcPr>
            <w:tcW w:w="7061" w:type="dxa"/>
            <w:tcBorders>
              <w:top w:val="single" w:color="auto" w:sz="4" w:space="0"/>
              <w:left w:val="nil"/>
              <w:bottom w:val="single" w:color="auto" w:sz="4" w:space="0"/>
              <w:right w:val="single" w:color="auto" w:sz="4" w:space="0"/>
            </w:tcBorders>
            <w:vAlign w:val="center"/>
          </w:tcPr>
          <w:p w14:paraId="2C62010C">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采用电动液压动力系统，可电动调节实现台面升降、头脚倾、左右倾、背板上下折、解锁和锁定</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平移、腰桥</w:t>
            </w:r>
            <w:r>
              <w:rPr>
                <w:rFonts w:hint="eastAsia" w:ascii="宋体" w:hAnsi="宋体" w:eastAsia="宋体" w:cs="宋体"/>
                <w:b w:val="0"/>
                <w:bCs w:val="0"/>
                <w:color w:val="000000" w:themeColor="text1"/>
                <w:sz w:val="21"/>
                <w:szCs w:val="21"/>
                <w:lang w:val="en-US" w:eastAsia="zh-CN"/>
                <w14:textFill>
                  <w14:solidFill>
                    <w14:schemeClr w14:val="tx1"/>
                  </w14:solidFill>
                </w14:textFill>
              </w:rPr>
              <w:t>等功能</w:t>
            </w:r>
            <w:r>
              <w:rPr>
                <w:rFonts w:hint="eastAsia" w:ascii="宋体" w:hAnsi="宋体" w:eastAsia="宋体" w:cs="宋体"/>
                <w:b w:val="0"/>
                <w:bCs w:val="0"/>
                <w:color w:val="000000" w:themeColor="text1"/>
                <w:sz w:val="21"/>
                <w:szCs w:val="21"/>
                <w14:textFill>
                  <w14:solidFill>
                    <w14:schemeClr w14:val="tx1"/>
                  </w14:solidFill>
                </w14:textFill>
              </w:rPr>
              <w:t xml:space="preserve">。 </w:t>
            </w:r>
          </w:p>
        </w:tc>
      </w:tr>
      <w:tr w14:paraId="3B16682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AC7812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EAF03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2</w:t>
            </w:r>
          </w:p>
        </w:tc>
        <w:tc>
          <w:tcPr>
            <w:tcW w:w="7061" w:type="dxa"/>
            <w:tcBorders>
              <w:top w:val="single" w:color="auto" w:sz="4" w:space="0"/>
              <w:left w:val="nil"/>
              <w:bottom w:val="single" w:color="auto" w:sz="4" w:space="0"/>
              <w:right w:val="single" w:color="auto" w:sz="4" w:space="0"/>
            </w:tcBorders>
            <w:vAlign w:val="center"/>
          </w:tcPr>
          <w:p w14:paraId="4E204A10">
            <w:pPr>
              <w:widowControl/>
              <w:spacing w:line="240" w:lineRule="auto"/>
              <w:jc w:val="both"/>
              <w:rPr>
                <w:rFonts w:hint="eastAsia" w:ascii="宋体" w:hAnsi="宋体" w:eastAsia="宋体" w:cs="宋体"/>
                <w:b w:val="0"/>
                <w:bCs w:val="0"/>
                <w:kern w:val="0"/>
                <w:sz w:val="21"/>
                <w:szCs w:val="21"/>
                <w:lang w:bidi="lo-LA"/>
              </w:rPr>
            </w:pPr>
            <w:bookmarkStart w:id="0" w:name="_Hlk96594152"/>
            <w:r>
              <w:rPr>
                <w:rFonts w:hint="eastAsia" w:ascii="宋体" w:hAnsi="宋体" w:eastAsia="宋体" w:cs="宋体"/>
                <w:b w:val="0"/>
                <w:bCs w:val="0"/>
                <w:sz w:val="21"/>
                <w:szCs w:val="21"/>
              </w:rPr>
              <w:t>手术床在5米范围内可通过无线蓝牙功能遥控手术床运行</w:t>
            </w:r>
            <w:bookmarkEnd w:id="0"/>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同时</w:t>
            </w:r>
            <w:r>
              <w:rPr>
                <w:rFonts w:hint="eastAsia" w:ascii="宋体" w:hAnsi="宋体" w:eastAsia="宋体" w:cs="宋体"/>
                <w:b w:val="0"/>
                <w:bCs w:val="0"/>
                <w:sz w:val="21"/>
                <w:szCs w:val="21"/>
              </w:rPr>
              <w:t>具备无线充电器对遥控器进行无线充电</w:t>
            </w:r>
            <w:r>
              <w:rPr>
                <w:rFonts w:hint="eastAsia" w:ascii="宋体" w:hAnsi="宋体" w:eastAsia="宋体" w:cs="宋体"/>
                <w:b w:val="0"/>
                <w:bCs w:val="0"/>
                <w:sz w:val="21"/>
                <w:szCs w:val="21"/>
                <w:lang w:val="en-US" w:eastAsia="zh-CN"/>
              </w:rPr>
              <w:t>的功能</w:t>
            </w:r>
            <w:r>
              <w:rPr>
                <w:rFonts w:hint="eastAsia" w:ascii="宋体" w:hAnsi="宋体" w:eastAsia="宋体" w:cs="宋体"/>
                <w:b w:val="0"/>
                <w:bCs w:val="0"/>
                <w:color w:val="000000" w:themeColor="text1"/>
                <w:sz w:val="21"/>
                <w:szCs w:val="21"/>
                <w14:textFill>
                  <w14:solidFill>
                    <w14:schemeClr w14:val="tx1"/>
                  </w14:solidFill>
                </w14:textFill>
              </w:rPr>
              <w:t>。</w:t>
            </w:r>
          </w:p>
        </w:tc>
      </w:tr>
      <w:tr w14:paraId="3069159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395529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FD743C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3</w:t>
            </w:r>
          </w:p>
        </w:tc>
        <w:tc>
          <w:tcPr>
            <w:tcW w:w="7061" w:type="dxa"/>
            <w:tcBorders>
              <w:top w:val="single" w:color="auto" w:sz="4" w:space="0"/>
              <w:left w:val="nil"/>
              <w:bottom w:val="single" w:color="auto" w:sz="4" w:space="0"/>
              <w:right w:val="single" w:color="auto" w:sz="4" w:space="0"/>
            </w:tcBorders>
            <w:vAlign w:val="center"/>
          </w:tcPr>
          <w:p w14:paraId="5B041DB4">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手术床立柱护罩顶端</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采用硬顶设计，</w:t>
            </w:r>
            <w:r>
              <w:rPr>
                <w:rFonts w:hint="eastAsia" w:ascii="宋体" w:hAnsi="宋体" w:eastAsia="宋体" w:cs="宋体"/>
                <w:b w:val="0"/>
                <w:bCs w:val="0"/>
                <w:color w:val="000000" w:themeColor="text1"/>
                <w:sz w:val="21"/>
                <w:szCs w:val="21"/>
                <w:lang w:val="en-US" w:eastAsia="zh-CN"/>
                <w14:textFill>
                  <w14:solidFill>
                    <w14:schemeClr w14:val="tx1"/>
                  </w14:solidFill>
                </w14:textFill>
              </w:rPr>
              <w:t>而</w:t>
            </w:r>
            <w:r>
              <w:rPr>
                <w:rFonts w:hint="eastAsia" w:ascii="宋体" w:hAnsi="宋体" w:eastAsia="宋体" w:cs="宋体"/>
                <w:b w:val="0"/>
                <w:bCs w:val="0"/>
                <w:color w:val="000000" w:themeColor="text1"/>
                <w:sz w:val="21"/>
                <w:szCs w:val="21"/>
                <w14:textFill>
                  <w14:solidFill>
                    <w14:schemeClr w14:val="tx1"/>
                  </w14:solidFill>
                </w14:textFill>
              </w:rPr>
              <w:t>非软质皮老虎设计，无褶皱</w:t>
            </w:r>
            <w:r>
              <w:rPr>
                <w:rFonts w:hint="eastAsia" w:ascii="宋体" w:hAnsi="宋体" w:eastAsia="宋体" w:cs="宋体"/>
                <w:b w:val="0"/>
                <w:bCs w:val="0"/>
                <w:color w:val="000000" w:themeColor="text1"/>
                <w:sz w:val="21"/>
                <w:szCs w:val="21"/>
                <w:lang w:val="en-US" w:eastAsia="zh-CN"/>
                <w14:textFill>
                  <w14:solidFill>
                    <w14:schemeClr w14:val="tx1"/>
                  </w14:solidFill>
                </w14:textFill>
              </w:rPr>
              <w:t>以</w:t>
            </w:r>
            <w:r>
              <w:rPr>
                <w:rFonts w:hint="eastAsia" w:ascii="宋体" w:hAnsi="宋体" w:eastAsia="宋体" w:cs="宋体"/>
                <w:b w:val="0"/>
                <w:bCs w:val="0"/>
                <w:color w:val="000000" w:themeColor="text1"/>
                <w:sz w:val="21"/>
                <w:szCs w:val="21"/>
                <w14:textFill>
                  <w14:solidFill>
                    <w14:schemeClr w14:val="tx1"/>
                  </w14:solidFill>
                </w14:textFill>
              </w:rPr>
              <w:t>便于清洁消毒，同时立柱式备用面板与硬顶式立柱护罩</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位于同一平面，不得凸出立柱护罩表面</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2D5FC7B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462BA6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DDFCDC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4</w:t>
            </w:r>
          </w:p>
        </w:tc>
        <w:tc>
          <w:tcPr>
            <w:tcW w:w="7061" w:type="dxa"/>
            <w:tcBorders>
              <w:top w:val="single" w:color="auto" w:sz="4" w:space="0"/>
              <w:left w:val="nil"/>
              <w:bottom w:val="single" w:color="auto" w:sz="4" w:space="0"/>
              <w:right w:val="single" w:color="auto" w:sz="4" w:space="0"/>
            </w:tcBorders>
            <w:vAlign w:val="center"/>
          </w:tcPr>
          <w:p w14:paraId="76E8B8BB">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手术床床垫</w:t>
            </w:r>
            <w:bookmarkStart w:id="1" w:name="_Hlk190337619"/>
            <w:r>
              <w:rPr>
                <w:rFonts w:hint="eastAsia" w:ascii="宋体" w:hAnsi="宋体" w:eastAsia="宋体" w:cs="宋体"/>
                <w:b w:val="0"/>
                <w:bCs w:val="0"/>
                <w:color w:val="000000" w:themeColor="text1"/>
                <w:sz w:val="21"/>
                <w:szCs w:val="21"/>
                <w14:textFill>
                  <w14:solidFill>
                    <w14:schemeClr w14:val="tx1"/>
                  </w14:solidFill>
                </w14:textFill>
              </w:rPr>
              <w:t>厚度≥</w:t>
            </w:r>
            <w:r>
              <w:rPr>
                <w:rFonts w:hint="eastAsia" w:ascii="宋体" w:hAnsi="宋体" w:eastAsia="宋体" w:cs="宋体"/>
                <w:b w:val="0"/>
                <w:bCs w:val="0"/>
                <w:sz w:val="21"/>
                <w:szCs w:val="21"/>
              </w:rPr>
              <w:t>80mm，</w:t>
            </w:r>
            <w:r>
              <w:rPr>
                <w:rFonts w:hint="eastAsia" w:ascii="宋体" w:hAnsi="宋体" w:eastAsia="宋体" w:cs="宋体"/>
                <w:b w:val="0"/>
                <w:bCs w:val="0"/>
                <w:sz w:val="21"/>
                <w:szCs w:val="21"/>
                <w:lang w:val="en-US" w:eastAsia="zh-CN"/>
              </w:rPr>
              <w:t>应由</w:t>
            </w:r>
            <w:r>
              <w:rPr>
                <w:rFonts w:hint="eastAsia" w:ascii="宋体" w:hAnsi="宋体" w:eastAsia="宋体" w:cs="宋体"/>
                <w:b w:val="0"/>
                <w:bCs w:val="0"/>
                <w:sz w:val="21"/>
                <w:szCs w:val="21"/>
              </w:rPr>
              <w:t>多层减压记忆海绵制成，</w:t>
            </w:r>
            <w:r>
              <w:rPr>
                <w:rFonts w:hint="eastAsia" w:ascii="宋体" w:hAnsi="宋体" w:eastAsia="宋体" w:cs="宋体"/>
                <w:b w:val="0"/>
                <w:bCs w:val="0"/>
                <w:color w:val="000000" w:themeColor="text1"/>
                <w:sz w:val="21"/>
                <w:szCs w:val="21"/>
                <w14:textFill>
                  <w14:solidFill>
                    <w14:schemeClr w14:val="tx1"/>
                  </w14:solidFill>
                </w14:textFill>
              </w:rPr>
              <w:t>具有双层透气膜设计，透气不透水</w:t>
            </w:r>
            <w:bookmarkEnd w:id="1"/>
            <w:r>
              <w:rPr>
                <w:rFonts w:hint="eastAsia" w:ascii="宋体" w:hAnsi="宋体" w:eastAsia="宋体" w:cs="宋体"/>
                <w:b w:val="0"/>
                <w:bCs w:val="0"/>
                <w:sz w:val="21"/>
                <w:szCs w:val="21"/>
              </w:rPr>
              <w:t>，床垫皮层</w:t>
            </w:r>
            <w:r>
              <w:rPr>
                <w:rFonts w:hint="eastAsia" w:ascii="宋体" w:hAnsi="宋体" w:eastAsia="宋体" w:cs="宋体"/>
                <w:b w:val="0"/>
                <w:bCs w:val="0"/>
                <w:sz w:val="21"/>
                <w:szCs w:val="21"/>
                <w:lang w:val="en-US" w:eastAsia="zh-CN"/>
              </w:rPr>
              <w:t>应</w:t>
            </w:r>
            <w:r>
              <w:rPr>
                <w:rFonts w:hint="eastAsia" w:ascii="宋体" w:hAnsi="宋体" w:eastAsia="宋体" w:cs="宋体"/>
                <w:b w:val="0"/>
                <w:bCs w:val="0"/>
                <w:sz w:val="21"/>
                <w:szCs w:val="21"/>
              </w:rPr>
              <w:t>通过TB117-2013防火等级测试</w:t>
            </w:r>
            <w:r>
              <w:rPr>
                <w:rFonts w:hint="eastAsia" w:ascii="宋体" w:hAnsi="宋体" w:eastAsia="宋体" w:cs="宋体"/>
                <w:b w:val="0"/>
                <w:bCs w:val="0"/>
                <w:sz w:val="21"/>
                <w:szCs w:val="21"/>
                <w:lang w:eastAsia="zh-CN"/>
              </w:rPr>
              <w:t>。</w:t>
            </w:r>
          </w:p>
        </w:tc>
      </w:tr>
      <w:tr w14:paraId="1720045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3F4C5A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1D69D4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5</w:t>
            </w:r>
          </w:p>
        </w:tc>
        <w:tc>
          <w:tcPr>
            <w:tcW w:w="7061" w:type="dxa"/>
            <w:tcBorders>
              <w:top w:val="single" w:color="auto" w:sz="4" w:space="0"/>
              <w:left w:val="nil"/>
              <w:bottom w:val="single" w:color="auto" w:sz="4" w:space="0"/>
              <w:right w:val="single" w:color="auto" w:sz="4" w:space="0"/>
            </w:tcBorders>
            <w:vAlign w:val="center"/>
          </w:tcPr>
          <w:p w14:paraId="22D86615">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手术床腿板</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采用一键拆装设计，不需要再进行二次旋钮解锁腿板，同时采用气弹簧腿板设计</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64CE2DD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C9497E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2771F5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6</w:t>
            </w:r>
          </w:p>
        </w:tc>
        <w:tc>
          <w:tcPr>
            <w:tcW w:w="7061" w:type="dxa"/>
            <w:tcBorders>
              <w:top w:val="single" w:color="auto" w:sz="4" w:space="0"/>
              <w:left w:val="nil"/>
              <w:bottom w:val="single" w:color="auto" w:sz="4" w:space="0"/>
              <w:right w:val="single" w:color="auto" w:sz="4" w:space="0"/>
            </w:tcBorders>
            <w:vAlign w:val="center"/>
          </w:tcPr>
          <w:p w14:paraId="78846A15">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手术床底罩</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采用大平板底罩设计，底座厚度≤150mm</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EE2A3B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B87779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F8FA9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7</w:t>
            </w:r>
          </w:p>
        </w:tc>
        <w:tc>
          <w:tcPr>
            <w:tcW w:w="7061" w:type="dxa"/>
            <w:tcBorders>
              <w:top w:val="single" w:color="auto" w:sz="4" w:space="0"/>
              <w:left w:val="nil"/>
              <w:bottom w:val="single" w:color="auto" w:sz="4" w:space="0"/>
              <w:right w:val="single" w:color="auto" w:sz="4" w:space="0"/>
            </w:tcBorders>
            <w:vAlign w:val="center"/>
          </w:tcPr>
          <w:p w14:paraId="7245A23A">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手术床防水测试等级</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sz w:val="21"/>
                <w:szCs w:val="21"/>
              </w:rPr>
              <w:t>IPX5。</w:t>
            </w:r>
          </w:p>
        </w:tc>
      </w:tr>
      <w:tr w14:paraId="07DB8B8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33F98F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06B87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8</w:t>
            </w:r>
          </w:p>
        </w:tc>
        <w:tc>
          <w:tcPr>
            <w:tcW w:w="7061" w:type="dxa"/>
            <w:tcBorders>
              <w:top w:val="single" w:color="auto" w:sz="4" w:space="0"/>
              <w:left w:val="nil"/>
              <w:bottom w:val="single" w:color="auto" w:sz="4" w:space="0"/>
              <w:right w:val="single" w:color="auto" w:sz="4" w:space="0"/>
            </w:tcBorders>
            <w:vAlign w:val="center"/>
          </w:tcPr>
          <w:p w14:paraId="2838BEF0">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具备四个万向脚轮，方便原地旋转和移动。同时手术床具有四个独立的电动支脚刹车，</w:t>
            </w:r>
            <w:r>
              <w:rPr>
                <w:rFonts w:hint="eastAsia" w:ascii="宋体" w:hAnsi="宋体" w:eastAsia="宋体" w:cs="宋体"/>
                <w:b w:val="0"/>
                <w:bCs w:val="0"/>
                <w:color w:val="000000" w:themeColor="text1"/>
                <w:sz w:val="21"/>
                <w:szCs w:val="21"/>
                <w:lang w:val="en-US" w:eastAsia="zh-CN"/>
                <w14:textFill>
                  <w14:solidFill>
                    <w14:schemeClr w14:val="tx1"/>
                  </w14:solidFill>
                </w14:textFill>
              </w:rPr>
              <w:t>而</w:t>
            </w:r>
            <w:r>
              <w:rPr>
                <w:rFonts w:hint="eastAsia" w:ascii="宋体" w:hAnsi="宋体" w:eastAsia="宋体" w:cs="宋体"/>
                <w:b w:val="0"/>
                <w:bCs w:val="0"/>
                <w:color w:val="000000" w:themeColor="text1"/>
                <w:sz w:val="21"/>
                <w:szCs w:val="21"/>
                <w14:textFill>
                  <w14:solidFill>
                    <w14:schemeClr w14:val="tx1"/>
                  </w14:solidFill>
                </w14:textFill>
              </w:rPr>
              <w:t>非轮式刹车设计</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 xml:space="preserve"> </w:t>
            </w:r>
          </w:p>
        </w:tc>
      </w:tr>
      <w:tr w14:paraId="43D5695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BBBA20A">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themeColor="text1"/>
                <w:sz w:val="21"/>
                <w:szCs w:val="21"/>
                <w14:textFill>
                  <w14:solidFill>
                    <w14:schemeClr w14:val="tx1"/>
                  </w14:solidFill>
                </w14:textFill>
              </w:rPr>
              <w:t>★</w:t>
            </w:r>
          </w:p>
        </w:tc>
        <w:tc>
          <w:tcPr>
            <w:tcW w:w="750" w:type="dxa"/>
            <w:tcBorders>
              <w:top w:val="single" w:color="auto" w:sz="4" w:space="0"/>
              <w:left w:val="nil"/>
              <w:bottom w:val="single" w:color="auto" w:sz="4" w:space="0"/>
              <w:right w:val="single" w:color="auto" w:sz="4" w:space="0"/>
            </w:tcBorders>
            <w:vAlign w:val="center"/>
          </w:tcPr>
          <w:p w14:paraId="0CEAB4A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9</w:t>
            </w:r>
          </w:p>
        </w:tc>
        <w:tc>
          <w:tcPr>
            <w:tcW w:w="7061" w:type="dxa"/>
            <w:tcBorders>
              <w:top w:val="single" w:color="auto" w:sz="4" w:space="0"/>
              <w:left w:val="nil"/>
              <w:bottom w:val="single" w:color="auto" w:sz="4" w:space="0"/>
              <w:right w:val="single" w:color="auto" w:sz="4" w:space="0"/>
            </w:tcBorders>
            <w:vAlign w:val="center"/>
          </w:tcPr>
          <w:p w14:paraId="5C7B8BE8">
            <w:pPr>
              <w:widowControl/>
              <w:spacing w:line="240" w:lineRule="auto"/>
              <w:jc w:val="both"/>
              <w:rPr>
                <w:rFonts w:hint="eastAsia" w:ascii="宋体" w:hAnsi="宋体" w:eastAsia="宋体" w:cs="宋体"/>
                <w:b w:val="0"/>
                <w:bCs w:val="0"/>
                <w:kern w:val="0"/>
                <w:sz w:val="21"/>
                <w:szCs w:val="21"/>
                <w:lang w:eastAsia="zh-CN" w:bidi="lo-LA"/>
              </w:rPr>
            </w:pPr>
            <w:bookmarkStart w:id="2" w:name="_Hlk96517684"/>
            <w:r>
              <w:rPr>
                <w:rFonts w:hint="eastAsia" w:ascii="宋体" w:hAnsi="宋体" w:eastAsia="宋体" w:cs="宋体"/>
                <w:b w:val="0"/>
                <w:bCs w:val="0"/>
                <w:color w:val="000000" w:themeColor="text1"/>
                <w:sz w:val="21"/>
                <w:szCs w:val="21"/>
                <w14:textFill>
                  <w14:solidFill>
                    <w14:schemeClr w14:val="tx1"/>
                  </w14:solidFill>
                </w14:textFill>
              </w:rPr>
              <w:t>手术床承重：</w:t>
            </w:r>
            <w:bookmarkStart w:id="3" w:name="_Hlk202287034"/>
            <w:r>
              <w:rPr>
                <w:rFonts w:hint="eastAsia" w:ascii="宋体" w:hAnsi="宋体" w:eastAsia="宋体" w:cs="宋体"/>
                <w:b w:val="0"/>
                <w:bCs w:val="0"/>
                <w:color w:val="000000" w:themeColor="text1"/>
                <w:sz w:val="21"/>
                <w:szCs w:val="21"/>
                <w14:textFill>
                  <w14:solidFill>
                    <w14:schemeClr w14:val="tx1"/>
                  </w14:solidFill>
                </w14:textFill>
              </w:rPr>
              <w:t>≥</w:t>
            </w:r>
            <w:bookmarkEnd w:id="3"/>
            <w:r>
              <w:rPr>
                <w:rFonts w:hint="eastAsia" w:ascii="宋体" w:hAnsi="宋体" w:eastAsia="宋体" w:cs="宋体"/>
                <w:b w:val="0"/>
                <w:bCs w:val="0"/>
                <w:color w:val="000000" w:themeColor="text1"/>
                <w:sz w:val="21"/>
                <w:szCs w:val="21"/>
                <w14:textFill>
                  <w14:solidFill>
                    <w14:schemeClr w14:val="tx1"/>
                  </w14:solidFill>
                </w14:textFill>
              </w:rPr>
              <w:t>400kg</w:t>
            </w:r>
            <w:bookmarkEnd w:id="2"/>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0ACFA4EC">
        <w:tblPrEx>
          <w:tblCellMar>
            <w:top w:w="0" w:type="dxa"/>
            <w:left w:w="108" w:type="dxa"/>
            <w:bottom w:w="0" w:type="dxa"/>
            <w:right w:w="108" w:type="dxa"/>
          </w:tblCellMar>
        </w:tblPrEx>
        <w:trPr>
          <w:trHeight w:val="9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3A719A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CA444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10</w:t>
            </w:r>
          </w:p>
        </w:tc>
        <w:tc>
          <w:tcPr>
            <w:tcW w:w="7061" w:type="dxa"/>
            <w:tcBorders>
              <w:top w:val="single" w:color="auto" w:sz="4" w:space="0"/>
              <w:left w:val="nil"/>
              <w:bottom w:val="single" w:color="auto" w:sz="4" w:space="0"/>
              <w:right w:val="single" w:color="auto" w:sz="4" w:space="0"/>
            </w:tcBorders>
            <w:vAlign w:val="center"/>
          </w:tcPr>
          <w:p w14:paraId="0B38DD34">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尺寸：</w:t>
            </w:r>
            <w:r>
              <w:rPr>
                <w:rFonts w:hint="eastAsia" w:ascii="宋体" w:hAnsi="宋体" w:eastAsia="宋体" w:cs="宋体"/>
                <w:b w:val="0"/>
                <w:bCs w:val="0"/>
                <w:color w:val="000000" w:themeColor="text1"/>
                <w:sz w:val="21"/>
                <w:szCs w:val="21"/>
                <w14:textFill>
                  <w14:solidFill>
                    <w14:schemeClr w14:val="tx1"/>
                  </w14:solidFill>
                </w14:textFill>
              </w:rPr>
              <w:t>宽度≥530mm，长度≥2080mm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6DDB4F0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6FA503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BBC9EA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11</w:t>
            </w:r>
          </w:p>
        </w:tc>
        <w:tc>
          <w:tcPr>
            <w:tcW w:w="7061" w:type="dxa"/>
            <w:tcBorders>
              <w:top w:val="single" w:color="auto" w:sz="4" w:space="0"/>
              <w:left w:val="nil"/>
              <w:bottom w:val="single" w:color="auto" w:sz="4" w:space="0"/>
              <w:right w:val="single" w:color="auto" w:sz="4" w:space="0"/>
            </w:tcBorders>
            <w:vAlign w:val="center"/>
          </w:tcPr>
          <w:p w14:paraId="13DCDAD8">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纵向最大倾斜角度（头倾）：≥3</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纵向最大倾斜角度（脚倾）：≥25°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53CFB5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FDF00A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F064AF">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3DC7566A">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侧向最大倾斜角度（左倾/右倾）：≥2</w:t>
            </w:r>
            <w:r>
              <w:rPr>
                <w:rFonts w:hint="eastAsia" w:ascii="宋体" w:hAnsi="宋体" w:eastAsia="宋体" w:cs="宋体"/>
                <w:b w:val="0"/>
                <w:bCs w:val="0"/>
                <w:color w:val="000000" w:themeColor="text1"/>
                <w:sz w:val="21"/>
                <w:szCs w:val="21"/>
                <w:lang w:val="en-US" w:eastAsia="zh-CN"/>
                <w14:textFill>
                  <w14:solidFill>
                    <w14:schemeClr w14:val="tx1"/>
                  </w14:solidFill>
                </w14:textFill>
              </w:rPr>
              <w:t>0</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E26DEC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9D5764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3AA5283">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54582FAD">
            <w:pPr>
              <w:widowControl/>
              <w:spacing w:line="240" w:lineRule="auto"/>
              <w:jc w:val="both"/>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color w:val="000000" w:themeColor="text1"/>
                <w:sz w:val="21"/>
                <w:szCs w:val="21"/>
                <w14:textFill>
                  <w14:solidFill>
                    <w14:schemeClr w14:val="tx1"/>
                  </w14:solidFill>
                </w14:textFill>
              </w:rPr>
              <w:t>头板最大倾斜角度：上折≥60°，下折≥8</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0BABBA4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142832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DD58348">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6DA47029">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背板最大倾斜角度：上折≥75°，下折≥45°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7E58A1D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6D438E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C5E0D5">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49F494B1">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腿板最大倾斜角度：上折≥3</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下折≥85°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AE5D27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AA32D9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370C0C">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4CF91BBA">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手术床最低台面：≤595mm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11C2F7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1A31EE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themeColor="text1"/>
                <w:sz w:val="21"/>
                <w:szCs w:val="21"/>
                <w14:textFill>
                  <w14:solidFill>
                    <w14:schemeClr w14:val="tx1"/>
                  </w14:solidFill>
                </w14:textFill>
              </w:rPr>
              <w:t>★</w:t>
            </w:r>
          </w:p>
        </w:tc>
        <w:tc>
          <w:tcPr>
            <w:tcW w:w="750" w:type="dxa"/>
            <w:tcBorders>
              <w:top w:val="single" w:color="auto" w:sz="4" w:space="0"/>
              <w:left w:val="nil"/>
              <w:bottom w:val="single" w:color="auto" w:sz="4" w:space="0"/>
              <w:right w:val="single" w:color="auto" w:sz="4" w:space="0"/>
            </w:tcBorders>
            <w:vAlign w:val="center"/>
          </w:tcPr>
          <w:p w14:paraId="752AD62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45EF0470">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台面平移距离：≥320mm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BB4456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29EE4C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5A9A16F">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sz w:val="21"/>
                <w:szCs w:val="21"/>
              </w:rPr>
              <w:t>1</w:t>
            </w:r>
            <w:r>
              <w:rPr>
                <w:rFonts w:hint="eastAsia" w:ascii="宋体" w:hAnsi="宋体" w:eastAsia="宋体" w:cs="宋体"/>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7939F072">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具备一键实现屈曲、反屈曲位，同时具备一键零位功能</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780B03D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F1F3822">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themeColor="text1"/>
                <w:sz w:val="21"/>
                <w:szCs w:val="21"/>
                <w14:textFill>
                  <w14:solidFill>
                    <w14:schemeClr w14:val="tx1"/>
                  </w14:solidFill>
                </w14:textFill>
              </w:rPr>
              <w:t>★</w:t>
            </w:r>
          </w:p>
        </w:tc>
        <w:tc>
          <w:tcPr>
            <w:tcW w:w="750" w:type="dxa"/>
            <w:tcBorders>
              <w:top w:val="single" w:color="auto" w:sz="4" w:space="0"/>
              <w:left w:val="nil"/>
              <w:bottom w:val="single" w:color="auto" w:sz="4" w:space="0"/>
              <w:right w:val="single" w:color="auto" w:sz="4" w:space="0"/>
            </w:tcBorders>
            <w:vAlign w:val="center"/>
          </w:tcPr>
          <w:p w14:paraId="6101BAE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sz w:val="21"/>
                <w:szCs w:val="21"/>
                <w:lang w:val="en-US" w:eastAsia="zh-CN"/>
              </w:rPr>
              <w:t>19</w:t>
            </w:r>
          </w:p>
        </w:tc>
        <w:tc>
          <w:tcPr>
            <w:tcW w:w="7061" w:type="dxa"/>
            <w:tcBorders>
              <w:top w:val="single" w:color="auto" w:sz="4" w:space="0"/>
              <w:left w:val="nil"/>
              <w:bottom w:val="single" w:color="auto" w:sz="4" w:space="0"/>
              <w:right w:val="single" w:color="auto" w:sz="4" w:space="0"/>
            </w:tcBorders>
            <w:vAlign w:val="center"/>
          </w:tcPr>
          <w:p w14:paraId="4113A6FC">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配置要求：应</w:t>
            </w:r>
            <w:r>
              <w:rPr>
                <w:rFonts w:hint="eastAsia" w:ascii="宋体" w:hAnsi="宋体" w:eastAsia="宋体" w:cs="宋体"/>
                <w:b w:val="0"/>
                <w:bCs w:val="0"/>
                <w:color w:val="000000" w:themeColor="text1"/>
                <w:sz w:val="21"/>
                <w:szCs w:val="21"/>
                <w14:textFill>
                  <w14:solidFill>
                    <w14:schemeClr w14:val="tx1"/>
                  </w14:solidFill>
                </w14:textFill>
              </w:rPr>
              <w:t>配</w:t>
            </w:r>
            <w:r>
              <w:rPr>
                <w:rFonts w:hint="eastAsia" w:ascii="宋体" w:hAnsi="宋体" w:eastAsia="宋体" w:cs="宋体"/>
                <w:b w:val="0"/>
                <w:bCs w:val="0"/>
                <w:color w:val="000000" w:themeColor="text1"/>
                <w:sz w:val="21"/>
                <w:szCs w:val="21"/>
                <w:lang w:val="en-US" w:eastAsia="zh-CN"/>
                <w14:textFill>
                  <w14:solidFill>
                    <w14:schemeClr w14:val="tx1"/>
                  </w14:solidFill>
                </w14:textFill>
              </w:rPr>
              <w:t>备</w:t>
            </w:r>
            <w:r>
              <w:rPr>
                <w:rFonts w:hint="eastAsia" w:ascii="宋体" w:hAnsi="宋体" w:eastAsia="宋体" w:cs="宋体"/>
                <w:b w:val="0"/>
                <w:bCs w:val="0"/>
                <w:color w:val="000000" w:themeColor="text1"/>
                <w:sz w:val="21"/>
                <w:szCs w:val="21"/>
                <w14:textFill>
                  <w14:solidFill>
                    <w14:schemeClr w14:val="tx1"/>
                  </w14:solidFill>
                </w14:textFill>
              </w:rPr>
              <w:t>记忆海绵床垫</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头板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主机（包含背板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坐板），分体式腿板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备用面板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无线遥控器</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托手架一对（含夹持器）</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麻醉屏架（含夹持器）</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CB4AB3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9A83B6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128855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364DAFC0">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10BF442">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F2316A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8EFC3F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0F6D1B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17E1243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06DC48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8FAC19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1456FFE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2E8AF0D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0D95A2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25AF4B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54BEC69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3C02EC7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AC1194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4164FD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shd w:val="clear" w:color="auto" w:fill="auto"/>
            <w:vAlign w:val="center"/>
          </w:tcPr>
          <w:p w14:paraId="2F694370">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3B021C5C">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775902">
            <w:pPr>
              <w:widowControl/>
              <w:spacing w:line="240" w:lineRule="auto"/>
              <w:jc w:val="both"/>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41CB83E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7171AF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1ADA9A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共30项，完全响应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的1.5</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4"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4"/>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352D5"/>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2D231ED"/>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5713</Words>
  <Characters>6067</Characters>
  <Lines>0</Lines>
  <Paragraphs>0</Paragraphs>
  <TotalTime>0</TotalTime>
  <ScaleCrop>false</ScaleCrop>
  <LinksUpToDate>false</LinksUpToDate>
  <CharactersWithSpaces>6154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2026-08-27T02:37:58Z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A2AFE1AB9B9A46149FBE4F123955C2D0_13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