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2833A373">
      <w:pPr>
        <w:numPr>
          <w:ilvl w:val="0"/>
          <w:numId w:val="0"/>
        </w:numPr>
        <w:jc w:val="center"/>
        <w:rPr>
          <w:rFonts w:hint="eastAsia" w:ascii="宋体" w:hAnsi="宋体" w:eastAsia="宋体" w:cs="宋体"/>
          <w:b/>
          <w:i w:val="0"/>
          <w:caps/>
          <w:color w:val="333333"/>
          <w:spacing w:val="0"/>
          <w:sz w:val="36"/>
          <w:szCs w:val="36"/>
          <w:lang w:val="en-US" w:eastAsia="zh-CN"/>
        </w:rPr>
      </w:pPr>
      <w:bookmarkStart w:id="1" w:name="_GoBack"/>
      <w:r>
        <w:rPr>
          <w:rFonts w:hint="eastAsia" w:ascii="宋体" w:hAnsi="宋体" w:eastAsia="宋体" w:cs="宋体"/>
          <w:b/>
          <w:i w:val="0"/>
          <w:caps/>
          <w:color w:val="333333"/>
          <w:spacing w:val="0"/>
          <w:sz w:val="36"/>
          <w:szCs w:val="36"/>
          <w:lang w:val="en-US" w:eastAsia="zh-CN"/>
        </w:rPr>
        <w:t>康巴什部静配中心净化提升改造项目</w:t>
      </w:r>
      <w:bookmarkEnd w:id="1"/>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2026年9月4日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5"/>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357"/>
        <w:gridCol w:w="1275"/>
        <w:gridCol w:w="1170"/>
        <w:gridCol w:w="181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321" w:type="dxa"/>
            <w:gridSpan w:val="2"/>
            <w:vAlign w:val="center"/>
          </w:tcPr>
          <w:p w14:paraId="3E37CC3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75"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170"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81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4321" w:type="dxa"/>
            <w:gridSpan w:val="2"/>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康巴什部静配中心净化提升改造</w:t>
            </w:r>
            <w:r>
              <w:rPr>
                <w:rFonts w:hint="eastAsia" w:ascii="宋体" w:hAnsi="宋体" w:eastAsia="宋体"/>
                <w:sz w:val="28"/>
                <w:szCs w:val="28"/>
                <w:lang w:val="en-US" w:eastAsia="zh-CN"/>
              </w:rPr>
              <w:t>项目</w:t>
            </w:r>
          </w:p>
        </w:tc>
        <w:tc>
          <w:tcPr>
            <w:tcW w:w="1275" w:type="dxa"/>
            <w:vAlign w:val="center"/>
          </w:tcPr>
          <w:p w14:paraId="569A970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项</w:t>
            </w:r>
          </w:p>
        </w:tc>
        <w:tc>
          <w:tcPr>
            <w:tcW w:w="1170" w:type="dxa"/>
            <w:vAlign w:val="center"/>
          </w:tcPr>
          <w:p w14:paraId="535899A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810" w:type="dxa"/>
            <w:vAlign w:val="center"/>
          </w:tcPr>
          <w:p w14:paraId="1D45D755">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567800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0B1B03D5">
            <w:pPr>
              <w:widowControl/>
              <w:jc w:val="center"/>
              <w:textAlignment w:val="center"/>
              <w:rPr>
                <w:rFonts w:hint="eastAsia" w:ascii="宋体" w:hAnsi="宋体" w:eastAsia="宋体" w:cs="宋体"/>
                <w:kern w:val="0"/>
                <w:sz w:val="28"/>
                <w:szCs w:val="28"/>
                <w:lang w:val="en-US" w:eastAsia="zh-CN"/>
              </w:rPr>
            </w:pPr>
          </w:p>
        </w:tc>
        <w:tc>
          <w:tcPr>
            <w:tcW w:w="6766" w:type="dxa"/>
            <w:gridSpan w:val="4"/>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810" w:type="dxa"/>
            <w:vAlign w:val="center"/>
          </w:tcPr>
          <w:p w14:paraId="1CE8AE64">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567800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222844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入场时间</w:t>
            </w:r>
          </w:p>
        </w:tc>
        <w:tc>
          <w:tcPr>
            <w:tcW w:w="5612" w:type="dxa"/>
            <w:gridSpan w:val="4"/>
            <w:vAlign w:val="center"/>
          </w:tcPr>
          <w:p w14:paraId="7217420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合同签订后1日内</w:t>
            </w:r>
          </w:p>
        </w:tc>
      </w:tr>
      <w:tr w14:paraId="430DD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05C8E59E">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7F7E6BD1">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工期</w:t>
            </w:r>
          </w:p>
        </w:tc>
        <w:tc>
          <w:tcPr>
            <w:tcW w:w="5612" w:type="dxa"/>
            <w:gridSpan w:val="4"/>
            <w:vAlign w:val="center"/>
          </w:tcPr>
          <w:p w14:paraId="08939AB9">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合同签订后45日内</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1年（验收之日算起，发生质量问题后从问题解决后重新计算）</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06580548">
            <w:pPr>
              <w:widowControl/>
              <w:jc w:val="both"/>
              <w:textAlignment w:val="center"/>
              <w:rPr>
                <w:rFonts w:hint="default" w:ascii="宋体" w:hAnsi="宋体" w:eastAsia="宋体" w:cs="宋体"/>
                <w:kern w:val="0"/>
                <w:sz w:val="28"/>
                <w:szCs w:val="28"/>
                <w:lang w:val="en-US" w:eastAsia="zh-CN"/>
              </w:rPr>
            </w:pPr>
            <w:r>
              <w:rPr>
                <w:rFonts w:hint="default" w:ascii="宋体" w:hAnsi="宋体" w:eastAsia="宋体" w:cs="宋体"/>
                <w:kern w:val="0"/>
                <w:sz w:val="28"/>
                <w:szCs w:val="28"/>
                <w:lang w:val="en-US" w:eastAsia="zh-CN"/>
              </w:rPr>
              <w:t>施工主要材料进场验收完成后支付合同金额的50%，施工完成验收合格且审计审定完成后支付审定金额的45%，</w:t>
            </w:r>
            <w:r>
              <w:rPr>
                <w:rFonts w:hint="eastAsia" w:ascii="宋体" w:hAnsi="宋体" w:eastAsia="宋体" w:cs="宋体"/>
                <w:kern w:val="0"/>
                <w:sz w:val="28"/>
                <w:szCs w:val="28"/>
                <w:lang w:val="en-US" w:eastAsia="zh-CN"/>
              </w:rPr>
              <w:t>1</w:t>
            </w:r>
            <w:r>
              <w:rPr>
                <w:rFonts w:hint="default" w:ascii="宋体" w:hAnsi="宋体" w:eastAsia="宋体" w:cs="宋体"/>
                <w:kern w:val="0"/>
                <w:sz w:val="28"/>
                <w:szCs w:val="28"/>
                <w:lang w:val="en-US" w:eastAsia="zh-CN"/>
              </w:rPr>
              <w:t>年质保期后支付剩余5%。</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2FD57B8A">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4EAABB93">
            <w:pPr>
              <w:pStyle w:val="7"/>
              <w:numPr>
                <w:ilvl w:val="0"/>
                <w:numId w:val="0"/>
              </w:numPr>
              <w:tabs>
                <w:tab w:val="left" w:pos="639"/>
              </w:tabs>
              <w:spacing w:line="240"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bidi="ar-SA"/>
              </w:rPr>
              <w:t>投标人具备有效的建设行政主管部门颁发的建筑机电安装工程专业承包二级及以上资质及建筑装修装饰工程专业承包二级及以上资质。</w:t>
            </w:r>
          </w:p>
        </w:tc>
      </w:tr>
    </w:tbl>
    <w:p w14:paraId="5E7B5AFC">
      <w:pPr>
        <w:rPr>
          <w:rFonts w:hint="eastAsia" w:hAnsi="宋体"/>
          <w:sz w:val="24"/>
          <w:szCs w:val="24"/>
          <w:lang w:val="en-US" w:eastAsia="zh-CN"/>
        </w:rPr>
      </w:pPr>
    </w:p>
    <w:p w14:paraId="6A9266D6">
      <w:pPr>
        <w:rPr>
          <w:rFonts w:hint="eastAsia" w:hAnsi="宋体"/>
          <w:sz w:val="24"/>
          <w:szCs w:val="24"/>
          <w:lang w:val="en-US" w:eastAsia="zh-CN"/>
        </w:rPr>
      </w:pPr>
    </w:p>
    <w:p w14:paraId="36B0F4D9">
      <w:pPr>
        <w:rPr>
          <w:rFonts w:hint="eastAsia" w:hAnsi="宋体"/>
          <w:sz w:val="24"/>
          <w:szCs w:val="24"/>
          <w:lang w:val="en-US" w:eastAsia="zh-CN"/>
        </w:rPr>
      </w:pPr>
    </w:p>
    <w:p w14:paraId="06C417CE">
      <w:pPr>
        <w:rPr>
          <w:rFonts w:hint="eastAsia" w:hAnsi="宋体"/>
          <w:sz w:val="24"/>
          <w:szCs w:val="24"/>
          <w:lang w:val="en-US" w:eastAsia="zh-CN"/>
        </w:rPr>
      </w:pPr>
    </w:p>
    <w:p w14:paraId="6E4C0A80">
      <w:pPr>
        <w:rPr>
          <w:rFonts w:hint="eastAsia" w:hAnsi="宋体"/>
          <w:sz w:val="24"/>
          <w:szCs w:val="24"/>
          <w:lang w:val="en-US" w:eastAsia="zh-CN"/>
        </w:rPr>
      </w:pPr>
      <w:r>
        <w:rPr>
          <w:rFonts w:hint="eastAsia" w:hAnsi="宋体"/>
          <w:sz w:val="24"/>
          <w:szCs w:val="24"/>
          <w:lang w:val="en-US" w:eastAsia="zh-CN"/>
        </w:rPr>
        <w:t xml:space="preserve">  </w:t>
      </w: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7B54B5BD">
      <w:pPr>
        <w:spacing w:line="360" w:lineRule="auto"/>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rPr>
        <w:t>）项目基本情况介绍：康巴什部静脉配液中心拟增加配液业务量，现抗生素调配区净化通风量需提升，增加部分设备。现拟增加空调净化机组1台、排风机组1台、更换传递柜7台，更换4樘电动门，新增生物安全柜1台，水平层流1台</w:t>
      </w:r>
      <w:r>
        <w:rPr>
          <w:rFonts w:hint="eastAsia" w:ascii="仿宋" w:hAnsi="仿宋" w:eastAsia="仿宋" w:cs="仿宋"/>
          <w:b w:val="0"/>
          <w:bCs w:val="0"/>
          <w:sz w:val="32"/>
          <w:szCs w:val="32"/>
          <w:lang w:eastAsia="zh-CN"/>
        </w:rPr>
        <w:t>等</w:t>
      </w:r>
      <w:r>
        <w:rPr>
          <w:rFonts w:hint="eastAsia" w:ascii="仿宋" w:hAnsi="仿宋" w:eastAsia="仿宋" w:cs="仿宋"/>
          <w:b w:val="0"/>
          <w:bCs w:val="0"/>
          <w:sz w:val="32"/>
          <w:szCs w:val="32"/>
        </w:rPr>
        <w:t>。工程含：拆除、修缮、装饰、空调机组、通风、强弱电等改造</w:t>
      </w:r>
    </w:p>
    <w:p w14:paraId="03C4F05E">
      <w:pPr>
        <w:spacing w:line="360" w:lineRule="auto"/>
        <w:jc w:val="left"/>
        <w:rPr>
          <w:rFonts w:hint="eastAsia" w:ascii="仿宋" w:hAnsi="仿宋" w:eastAsia="仿宋" w:cs="仿宋"/>
          <w:b w:val="0"/>
          <w:bCs w:val="0"/>
          <w:sz w:val="32"/>
          <w:szCs w:val="32"/>
          <w:u w:val="single"/>
        </w:rPr>
      </w:pP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rPr>
        <w:t>）技术参数和要求（功能和质量）</w:t>
      </w:r>
    </w:p>
    <w:tbl>
      <w:tblPr>
        <w:tblStyle w:val="14"/>
        <w:tblW w:w="9810" w:type="dxa"/>
        <w:jc w:val="center"/>
        <w:tblLayout w:type="fixed"/>
        <w:tblCellMar>
          <w:top w:w="0" w:type="dxa"/>
          <w:left w:w="108" w:type="dxa"/>
          <w:bottom w:w="0" w:type="dxa"/>
          <w:right w:w="108" w:type="dxa"/>
        </w:tblCellMar>
      </w:tblPr>
      <w:tblGrid>
        <w:gridCol w:w="1555"/>
        <w:gridCol w:w="1134"/>
        <w:gridCol w:w="7121"/>
      </w:tblGrid>
      <w:tr w14:paraId="00E14C52">
        <w:tblPrEx>
          <w:tblCellMar>
            <w:top w:w="0" w:type="dxa"/>
            <w:left w:w="108" w:type="dxa"/>
            <w:bottom w:w="0" w:type="dxa"/>
            <w:right w:w="108" w:type="dxa"/>
          </w:tblCellMar>
        </w:tblPrEx>
        <w:trPr>
          <w:trHeight w:val="487"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1253759D">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参数性质</w:t>
            </w:r>
          </w:p>
        </w:tc>
        <w:tc>
          <w:tcPr>
            <w:tcW w:w="1134" w:type="dxa"/>
            <w:tcBorders>
              <w:top w:val="single" w:color="auto" w:sz="4" w:space="0"/>
              <w:left w:val="nil"/>
              <w:bottom w:val="single" w:color="auto" w:sz="4" w:space="0"/>
              <w:right w:val="single" w:color="auto" w:sz="4" w:space="0"/>
            </w:tcBorders>
            <w:vAlign w:val="center"/>
          </w:tcPr>
          <w:p w14:paraId="15E38B56">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编号</w:t>
            </w:r>
          </w:p>
        </w:tc>
        <w:tc>
          <w:tcPr>
            <w:tcW w:w="7121" w:type="dxa"/>
            <w:tcBorders>
              <w:top w:val="single" w:color="auto" w:sz="4" w:space="0"/>
              <w:left w:val="nil"/>
              <w:bottom w:val="single" w:color="auto" w:sz="4" w:space="0"/>
              <w:right w:val="single" w:color="auto" w:sz="4" w:space="0"/>
            </w:tcBorders>
            <w:vAlign w:val="center"/>
          </w:tcPr>
          <w:p w14:paraId="3C32887D">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技术参数和要求</w:t>
            </w:r>
          </w:p>
        </w:tc>
      </w:tr>
      <w:tr w14:paraId="4DD10D67">
        <w:tblPrEx>
          <w:tblCellMar>
            <w:top w:w="0" w:type="dxa"/>
            <w:left w:w="108" w:type="dxa"/>
            <w:bottom w:w="0" w:type="dxa"/>
            <w:right w:w="108" w:type="dxa"/>
          </w:tblCellMar>
        </w:tblPrEx>
        <w:trPr>
          <w:trHeight w:val="32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4B2BF8DC">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791DF9E9">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1</w:t>
            </w:r>
          </w:p>
        </w:tc>
        <w:tc>
          <w:tcPr>
            <w:tcW w:w="7121" w:type="dxa"/>
            <w:tcBorders>
              <w:top w:val="single" w:color="auto" w:sz="4" w:space="0"/>
              <w:left w:val="nil"/>
              <w:bottom w:val="single" w:color="auto" w:sz="4" w:space="0"/>
              <w:right w:val="single" w:color="auto" w:sz="4" w:space="0"/>
            </w:tcBorders>
            <w:vAlign w:val="center"/>
          </w:tcPr>
          <w:p w14:paraId="1FD90CF8">
            <w:pPr>
              <w:widowControl/>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rPr>
              <w:t>拆除工程：原有部分</w:t>
            </w:r>
            <w:r>
              <w:rPr>
                <w:rFonts w:hint="eastAsia" w:ascii="仿宋_GB2312" w:hAnsi="仿宋_GB2312" w:eastAsia="仿宋_GB2312" w:cs="仿宋_GB2312"/>
                <w:b w:val="0"/>
                <w:bCs w:val="0"/>
                <w:sz w:val="28"/>
                <w:szCs w:val="28"/>
                <w:lang w:eastAsia="zh-CN"/>
              </w:rPr>
              <w:t>墙体</w:t>
            </w:r>
            <w:r>
              <w:rPr>
                <w:rFonts w:hint="eastAsia" w:ascii="仿宋_GB2312" w:hAnsi="仿宋_GB2312" w:eastAsia="仿宋_GB2312" w:cs="仿宋_GB2312"/>
                <w:b w:val="0"/>
                <w:bCs w:val="0"/>
                <w:sz w:val="28"/>
                <w:szCs w:val="28"/>
              </w:rPr>
              <w:t>、吊顶、</w:t>
            </w:r>
            <w:r>
              <w:rPr>
                <w:rFonts w:hint="eastAsia" w:ascii="仿宋_GB2312" w:hAnsi="仿宋_GB2312" w:eastAsia="仿宋_GB2312" w:cs="仿宋_GB2312"/>
                <w:b w:val="0"/>
                <w:bCs w:val="0"/>
                <w:sz w:val="28"/>
                <w:szCs w:val="28"/>
                <w:lang w:eastAsia="zh-CN"/>
              </w:rPr>
              <w:t>门、地面</w:t>
            </w:r>
            <w:r>
              <w:rPr>
                <w:rFonts w:hint="eastAsia" w:ascii="仿宋_GB2312" w:hAnsi="仿宋_GB2312" w:eastAsia="仿宋_GB2312" w:cs="仿宋_GB2312"/>
                <w:b w:val="0"/>
                <w:bCs w:val="0"/>
                <w:sz w:val="28"/>
                <w:szCs w:val="28"/>
              </w:rPr>
              <w:t>等。</w:t>
            </w:r>
            <w:r>
              <w:rPr>
                <w:rFonts w:hint="eastAsia" w:ascii="仿宋_GB2312" w:hAnsi="仿宋_GB2312" w:eastAsia="仿宋_GB2312" w:cs="仿宋_GB2312"/>
                <w:b/>
                <w:bCs/>
                <w:sz w:val="28"/>
                <w:szCs w:val="28"/>
                <w:lang w:eastAsia="zh-CN"/>
              </w:rPr>
              <w:t>无线</w:t>
            </w:r>
            <w:r>
              <w:rPr>
                <w:rFonts w:hint="eastAsia" w:ascii="仿宋_GB2312" w:hAnsi="仿宋_GB2312" w:eastAsia="仿宋_GB2312" w:cs="仿宋_GB2312"/>
                <w:b/>
                <w:bCs/>
                <w:sz w:val="28"/>
                <w:szCs w:val="28"/>
                <w:lang w:val="en-US" w:eastAsia="zh-CN"/>
              </w:rPr>
              <w:t>ap，导航定位终端，部分消防终端等需保护性拆除并恢复安装。</w:t>
            </w:r>
          </w:p>
        </w:tc>
      </w:tr>
      <w:tr w14:paraId="57A7BDA9">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E4C1BBA">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134CD44B">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2</w:t>
            </w:r>
          </w:p>
        </w:tc>
        <w:tc>
          <w:tcPr>
            <w:tcW w:w="7121" w:type="dxa"/>
            <w:tcBorders>
              <w:top w:val="single" w:color="auto" w:sz="4" w:space="0"/>
              <w:left w:val="nil"/>
              <w:bottom w:val="single" w:color="auto" w:sz="4" w:space="0"/>
              <w:right w:val="single" w:color="auto" w:sz="4" w:space="0"/>
            </w:tcBorders>
            <w:vAlign w:val="center"/>
          </w:tcPr>
          <w:p w14:paraId="5213AB8C">
            <w:pPr>
              <w:pStyle w:val="13"/>
              <w:ind w:left="0" w:leftChars="0" w:firstLine="0" w:firstLineChars="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lang w:val="en-US" w:eastAsia="zh-CN"/>
              </w:rPr>
              <w:t>装修工程：净化板墙面</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墙面、吊顶修复处理；墙面装饰、吊顶、地面铺装等都需要适配原有材料。</w:t>
            </w:r>
          </w:p>
        </w:tc>
      </w:tr>
      <w:tr w14:paraId="1368B4BA">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2D885BDF">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5080593B">
            <w:pPr>
              <w:widowControl/>
              <w:jc w:val="center"/>
              <w:rPr>
                <w:rFonts w:hint="eastAsia" w:ascii="仿宋" w:hAnsi="仿宋" w:eastAsia="仿宋" w:cs="仿宋"/>
                <w:b w:val="0"/>
                <w:bCs w:val="0"/>
                <w:sz w:val="32"/>
                <w:szCs w:val="32"/>
              </w:rPr>
            </w:pPr>
            <w:r>
              <w:rPr>
                <w:rFonts w:hint="eastAsia" w:ascii="仿宋" w:hAnsi="仿宋" w:eastAsia="仿宋" w:cs="仿宋"/>
                <w:b w:val="0"/>
                <w:bCs w:val="0"/>
                <w:sz w:val="32"/>
                <w:szCs w:val="32"/>
              </w:rPr>
              <w:t>3</w:t>
            </w:r>
          </w:p>
        </w:tc>
        <w:tc>
          <w:tcPr>
            <w:tcW w:w="7121" w:type="dxa"/>
            <w:tcBorders>
              <w:top w:val="single" w:color="auto" w:sz="4" w:space="0"/>
              <w:left w:val="nil"/>
              <w:bottom w:val="single" w:color="auto" w:sz="4" w:space="0"/>
              <w:right w:val="single" w:color="auto" w:sz="4" w:space="0"/>
            </w:tcBorders>
            <w:vAlign w:val="center"/>
          </w:tcPr>
          <w:p w14:paraId="1E1F2B0F">
            <w:pPr>
              <w:pStyle w:val="13"/>
              <w:ind w:left="0" w:leftChars="0" w:firstLine="0" w:firstLineChars="0"/>
              <w:jc w:val="left"/>
              <w:rPr>
                <w:rFonts w:hint="eastAsia" w:ascii="仿宋_GB2312" w:hAnsi="仿宋_GB2312" w:eastAsia="仿宋_GB2312" w:cs="仿宋_GB2312"/>
                <w:b w:val="0"/>
                <w:bCs w:val="0"/>
                <w:sz w:val="28"/>
                <w:szCs w:val="28"/>
              </w:rPr>
            </w:pPr>
            <w:r>
              <w:rPr>
                <w:rFonts w:hint="eastAsia" w:ascii="仿宋_GB2312" w:hAnsi="仿宋_GB2312" w:eastAsia="仿宋_GB2312" w:cs="仿宋_GB2312"/>
                <w:sz w:val="28"/>
                <w:szCs w:val="28"/>
                <w:lang w:val="en-US" w:eastAsia="zh-CN"/>
              </w:rPr>
              <w:t>安装工程：消防点位调整、强弱电基础配线、开关、照明、上下水改造等。</w:t>
            </w:r>
          </w:p>
        </w:tc>
      </w:tr>
      <w:tr w14:paraId="43C5ED46">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528DB18B">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254B08E3">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4</w:t>
            </w:r>
          </w:p>
        </w:tc>
        <w:tc>
          <w:tcPr>
            <w:tcW w:w="7121" w:type="dxa"/>
            <w:tcBorders>
              <w:top w:val="single" w:color="auto" w:sz="4" w:space="0"/>
              <w:left w:val="nil"/>
              <w:bottom w:val="single" w:color="auto" w:sz="4" w:space="0"/>
              <w:right w:val="single" w:color="auto" w:sz="4" w:space="0"/>
            </w:tcBorders>
            <w:vAlign w:val="center"/>
          </w:tcPr>
          <w:p w14:paraId="66AAEF40">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配套设施供货及安装：空调机组</w:t>
            </w:r>
          </w:p>
          <w:p w14:paraId="21922AE8">
            <w:pPr>
              <w:pStyle w:val="13"/>
              <w:ind w:left="0" w:leftChars="0" w:firstLine="0" w:firstLineChars="0"/>
              <w:jc w:val="left"/>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color w:val="auto"/>
                <w:sz w:val="28"/>
                <w:szCs w:val="28"/>
                <w:lang w:val="en-US" w:eastAsia="zh-CN"/>
              </w:rPr>
              <w:t>送风量：2200m³/h；机外余压550pa；过滤器：G4+F8；氟系统制冷量22.4kw，制热量23kw；风机类型：后倾型配套风冷冷凝设备：低温强热型；变频</w:t>
            </w:r>
          </w:p>
        </w:tc>
      </w:tr>
      <w:tr w14:paraId="03236C5F">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69F25CF7">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1FA2D746">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5</w:t>
            </w:r>
          </w:p>
        </w:tc>
        <w:tc>
          <w:tcPr>
            <w:tcW w:w="7121" w:type="dxa"/>
            <w:tcBorders>
              <w:top w:val="single" w:color="auto" w:sz="4" w:space="0"/>
              <w:left w:val="nil"/>
              <w:bottom w:val="single" w:color="auto" w:sz="4" w:space="0"/>
              <w:right w:val="single" w:color="auto" w:sz="4" w:space="0"/>
            </w:tcBorders>
            <w:vAlign w:val="center"/>
          </w:tcPr>
          <w:p w14:paraId="5E4D6355">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配套设施供货及安装：蒸汽加湿器</w:t>
            </w:r>
          </w:p>
          <w:p w14:paraId="0F83C132">
            <w:pPr>
              <w:pStyle w:val="13"/>
              <w:ind w:left="0" w:leftChars="0" w:firstLine="0" w:firstLineChars="0"/>
              <w:jc w:val="left"/>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一次蒸汽加湿器，加湿量：12kg/h</w:t>
            </w:r>
          </w:p>
        </w:tc>
      </w:tr>
      <w:tr w14:paraId="593B7C70">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687B5419">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36D2A300">
            <w:pPr>
              <w:widowControl/>
              <w:jc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6</w:t>
            </w:r>
          </w:p>
        </w:tc>
        <w:tc>
          <w:tcPr>
            <w:tcW w:w="7121" w:type="dxa"/>
            <w:tcBorders>
              <w:top w:val="single" w:color="auto" w:sz="4" w:space="0"/>
              <w:left w:val="nil"/>
              <w:bottom w:val="single" w:color="auto" w:sz="4" w:space="0"/>
              <w:right w:val="single" w:color="auto" w:sz="4" w:space="0"/>
            </w:tcBorders>
            <w:vAlign w:val="center"/>
          </w:tcPr>
          <w:p w14:paraId="10DC9235">
            <w:pPr>
              <w:pStyle w:val="13"/>
              <w:ind w:left="0" w:leftChars="0" w:firstLine="0" w:firstLineChars="0"/>
              <w:jc w:val="left"/>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sz w:val="28"/>
                <w:szCs w:val="28"/>
                <w:lang w:val="en-US" w:eastAsia="zh-CN"/>
              </w:rPr>
              <w:t>配套设施供货及安装：箱式离心风机、静音型离心风机</w:t>
            </w:r>
            <w:r>
              <w:rPr>
                <w:rFonts w:hint="eastAsia" w:ascii="仿宋_GB2312" w:hAnsi="仿宋_GB2312" w:eastAsia="仿宋_GB2312" w:cs="仿宋_GB2312"/>
                <w:color w:val="FFFFFF" w:themeColor="background1"/>
                <w:sz w:val="28"/>
                <w:szCs w:val="28"/>
                <w:lang w:val="en-US" w:eastAsia="zh-CN"/>
                <w14:textFill>
                  <w14:solidFill>
                    <w14:schemeClr w14:val="bg1"/>
                  </w14:solidFill>
                </w14:textFill>
              </w:rPr>
              <w:t>参数需详细</w:t>
            </w:r>
          </w:p>
        </w:tc>
      </w:tr>
      <w:tr w14:paraId="21257A38">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1E432B91">
            <w:pPr>
              <w:widowControl/>
              <w:jc w:val="center"/>
              <w:rPr>
                <w:rFonts w:hint="eastAsia" w:ascii="仿宋" w:hAnsi="仿宋" w:eastAsia="仿宋" w:cs="仿宋"/>
                <w:b w:val="0"/>
                <w:bCs w:val="0"/>
                <w:sz w:val="32"/>
                <w:szCs w:val="32"/>
              </w:rPr>
            </w:pPr>
            <w:r>
              <w:rPr>
                <w:rFonts w:hint="eastAsia" w:ascii="仿宋_GB2312" w:hAnsi="仿宋_GB2312" w:eastAsia="仿宋_GB2312" w:cs="仿宋_GB2312"/>
                <w:sz w:val="24"/>
                <w:szCs w:val="24"/>
                <w:lang w:val="en-US" w:eastAsia="zh-CN"/>
              </w:rPr>
              <w:t>★</w:t>
            </w:r>
          </w:p>
        </w:tc>
        <w:tc>
          <w:tcPr>
            <w:tcW w:w="1134" w:type="dxa"/>
            <w:tcBorders>
              <w:top w:val="single" w:color="auto" w:sz="4" w:space="0"/>
              <w:left w:val="nil"/>
              <w:bottom w:val="single" w:color="auto" w:sz="4" w:space="0"/>
              <w:right w:val="single" w:color="auto" w:sz="4" w:space="0"/>
            </w:tcBorders>
            <w:vAlign w:val="center"/>
          </w:tcPr>
          <w:p w14:paraId="1407BDD9">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7</w:t>
            </w:r>
          </w:p>
        </w:tc>
        <w:tc>
          <w:tcPr>
            <w:tcW w:w="7121" w:type="dxa"/>
            <w:tcBorders>
              <w:top w:val="single" w:color="auto" w:sz="4" w:space="0"/>
              <w:left w:val="nil"/>
              <w:bottom w:val="single" w:color="auto" w:sz="4" w:space="0"/>
              <w:right w:val="single" w:color="auto" w:sz="4" w:space="0"/>
            </w:tcBorders>
            <w:vAlign w:val="center"/>
          </w:tcPr>
          <w:p w14:paraId="12949782">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w:t>
            </w:r>
          </w:p>
          <w:p w14:paraId="786B932B">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7.1 双层传递柜：1)双层600*1200*600mm；</w:t>
            </w:r>
          </w:p>
          <w:p w14:paraId="74495646">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2)外置式：箱体为1.2mm304不锈钢拉丝板制，门板为1.0mm304不锈钢拉丝板制，内胆为1.0mm201不锈钢；</w:t>
            </w:r>
          </w:p>
          <w:p w14:paraId="50CC4824">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3)观察窗采用4mm厚钢化玻璃；</w:t>
            </w:r>
          </w:p>
          <w:p w14:paraId="1B34F7F8">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4)机械互锁；</w:t>
            </w:r>
          </w:p>
          <w:p w14:paraId="60487084">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5)带紫外线杀菌灯；</w:t>
            </w:r>
          </w:p>
          <w:p w14:paraId="72D5160E">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6)多联传递窗为一体式构造；</w:t>
            </w:r>
          </w:p>
          <w:p w14:paraId="2909D2AB">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7.2 A2生物安全柜：II级A2型，外形尺寸:1870x750x2290mm，工作区尺寸:1710x600x660mm（尺寸仅供参考，依据标准产品可略有偏差）</w:t>
            </w:r>
          </w:p>
          <w:p w14:paraId="647EF9D8">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7.3超净台：洁净度：IOS 5（100级），外形尺寸：1800*760*1870mm（尺寸仅供参考，依据标准产品可略有偏差）</w:t>
            </w:r>
            <w:r>
              <w:rPr>
                <w:rFonts w:hint="eastAsia" w:ascii="仿宋_GB2312" w:hAnsi="仿宋_GB2312" w:eastAsia="仿宋_GB2312" w:cs="仿宋_GB2312"/>
                <w:color w:val="FFFFFF" w:themeColor="background1"/>
                <w:sz w:val="28"/>
                <w:szCs w:val="28"/>
                <w:lang w:val="en-US" w:eastAsia="zh-CN"/>
                <w14:textFill>
                  <w14:solidFill>
                    <w14:schemeClr w14:val="bg1"/>
                  </w14:solidFill>
                </w14:textFill>
              </w:rPr>
              <w:t>参数需详细</w:t>
            </w:r>
          </w:p>
        </w:tc>
      </w:tr>
      <w:tr w14:paraId="54FE2328">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1BECFD9A">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2EBCC1B9">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8</w:t>
            </w:r>
          </w:p>
        </w:tc>
        <w:tc>
          <w:tcPr>
            <w:tcW w:w="7121" w:type="dxa"/>
            <w:tcBorders>
              <w:top w:val="single" w:color="auto" w:sz="4" w:space="0"/>
              <w:left w:val="nil"/>
              <w:bottom w:val="single" w:color="auto" w:sz="4" w:space="0"/>
              <w:right w:val="single" w:color="auto" w:sz="4" w:space="0"/>
            </w:tcBorders>
            <w:vAlign w:val="center"/>
          </w:tcPr>
          <w:p w14:paraId="1F53BCAA">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配套设施供货及安装：电动平开门、气密平开门</w:t>
            </w:r>
          </w:p>
        </w:tc>
      </w:tr>
      <w:tr w14:paraId="4E4603F8">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2C96D3A6">
            <w:pPr>
              <w:widowControl/>
              <w:jc w:val="center"/>
              <w:rPr>
                <w:rFonts w:hint="eastAsia" w:ascii="仿宋" w:hAnsi="仿宋" w:eastAsia="仿宋" w:cs="仿宋"/>
                <w:b w:val="0"/>
                <w:bCs w:val="0"/>
                <w:sz w:val="32"/>
                <w:szCs w:val="32"/>
              </w:rPr>
            </w:pPr>
          </w:p>
        </w:tc>
        <w:tc>
          <w:tcPr>
            <w:tcW w:w="1134" w:type="dxa"/>
            <w:tcBorders>
              <w:top w:val="single" w:color="auto" w:sz="4" w:space="0"/>
              <w:left w:val="nil"/>
              <w:bottom w:val="single" w:color="auto" w:sz="4" w:space="0"/>
              <w:right w:val="single" w:color="auto" w:sz="4" w:space="0"/>
            </w:tcBorders>
            <w:vAlign w:val="center"/>
          </w:tcPr>
          <w:p w14:paraId="351F3DAD">
            <w:pPr>
              <w:widowControl/>
              <w:jc w:val="center"/>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9</w:t>
            </w:r>
          </w:p>
        </w:tc>
        <w:tc>
          <w:tcPr>
            <w:tcW w:w="7121" w:type="dxa"/>
            <w:tcBorders>
              <w:top w:val="single" w:color="auto" w:sz="4" w:space="0"/>
              <w:left w:val="nil"/>
              <w:bottom w:val="single" w:color="auto" w:sz="4" w:space="0"/>
              <w:right w:val="single" w:color="auto" w:sz="4" w:space="0"/>
            </w:tcBorders>
            <w:vAlign w:val="center"/>
          </w:tcPr>
          <w:p w14:paraId="6844C32E">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现场装修、设施、玻璃等保护及防护、材料运输及装卸上楼垃圾倒运下楼及运输出场、卫生清洁（包含施工后地面、墙面、顶面、玻璃清洁）。</w:t>
            </w:r>
          </w:p>
        </w:tc>
      </w:tr>
      <w:tr w14:paraId="668CBDB8">
        <w:tblPrEx>
          <w:tblCellMar>
            <w:top w:w="0" w:type="dxa"/>
            <w:left w:w="108" w:type="dxa"/>
            <w:bottom w:w="0" w:type="dxa"/>
            <w:right w:w="108" w:type="dxa"/>
          </w:tblCellMar>
        </w:tblPrEx>
        <w:trPr>
          <w:trHeight w:val="773" w:hRule="atLeast"/>
          <w:jc w:val="center"/>
        </w:trPr>
        <w:tc>
          <w:tcPr>
            <w:tcW w:w="9810" w:type="dxa"/>
            <w:gridSpan w:val="3"/>
            <w:tcBorders>
              <w:top w:val="single" w:color="auto" w:sz="4" w:space="0"/>
              <w:left w:val="single" w:color="auto" w:sz="4" w:space="0"/>
              <w:bottom w:val="single" w:color="auto" w:sz="4" w:space="0"/>
              <w:right w:val="single" w:color="auto" w:sz="4" w:space="0"/>
            </w:tcBorders>
            <w:vAlign w:val="center"/>
          </w:tcPr>
          <w:p w14:paraId="15FB9279">
            <w:pPr>
              <w:pStyle w:val="13"/>
              <w:ind w:left="0" w:leftChars="0" w:firstLine="0" w:firstLine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4"/>
                <w:szCs w:val="24"/>
                <w:lang w:val="en-US" w:eastAsia="zh-CN"/>
              </w:rPr>
              <w:t>备注：1.“参数性质”标“★”表示此参数为主要技术参数，不满足任意1条即导致响应无效。</w:t>
            </w:r>
          </w:p>
        </w:tc>
      </w:tr>
    </w:tbl>
    <w:p w14:paraId="19E8696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41EEF8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095D0B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29D029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91F4CB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3967D73">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D50EE7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5BA1422">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E88117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CD1641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71AD31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D77D20C">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D3D66E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80614D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FB3586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2471C56">
      <w:pPr>
        <w:pStyle w:val="2"/>
        <w:rPr>
          <w:rFonts w:hint="eastAsia" w:ascii="宋体" w:hAnsi="宋体" w:eastAsia="宋体" w:cs="宋体"/>
          <w:b/>
          <w:bCs/>
          <w:sz w:val="28"/>
          <w:szCs w:val="28"/>
          <w:lang w:val="en-US" w:eastAsia="zh-CN"/>
        </w:rPr>
      </w:pPr>
    </w:p>
    <w:p w14:paraId="36C3C783">
      <w:pPr>
        <w:pStyle w:val="2"/>
        <w:rPr>
          <w:rFonts w:hint="eastAsia" w:ascii="宋体" w:hAnsi="宋体" w:eastAsia="宋体" w:cs="宋体"/>
          <w:b/>
          <w:bCs/>
          <w:sz w:val="28"/>
          <w:szCs w:val="28"/>
          <w:lang w:val="en-US" w:eastAsia="zh-CN"/>
        </w:rPr>
      </w:pPr>
    </w:p>
    <w:p w14:paraId="74CCBDFA">
      <w:pPr>
        <w:pStyle w:val="2"/>
        <w:rPr>
          <w:rFonts w:hint="eastAsia" w:ascii="宋体" w:hAnsi="宋体" w:eastAsia="宋体" w:cs="宋体"/>
          <w:b/>
          <w:bCs/>
          <w:sz w:val="28"/>
          <w:szCs w:val="28"/>
          <w:lang w:val="en-US" w:eastAsia="zh-CN"/>
        </w:rPr>
      </w:pPr>
    </w:p>
    <w:p w14:paraId="0DEE6D12">
      <w:pPr>
        <w:pStyle w:val="2"/>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4"/>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434A0E3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综合评审表</w:t>
      </w:r>
    </w:p>
    <w:tbl>
      <w:tblPr>
        <w:tblStyle w:val="14"/>
        <w:tblW w:w="55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928"/>
        <w:gridCol w:w="1089"/>
        <w:gridCol w:w="1613"/>
        <w:gridCol w:w="4665"/>
      </w:tblGrid>
      <w:tr w14:paraId="5C08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2" w:type="pct"/>
            <w:gridSpan w:val="2"/>
            <w:noWrap w:val="0"/>
            <w:vAlign w:val="center"/>
          </w:tcPr>
          <w:p w14:paraId="2903FE2D">
            <w:pPr>
              <w:pStyle w:val="9"/>
              <w:keepNext w:val="0"/>
              <w:keepLines w:val="0"/>
              <w:pageBreakBefore w:val="0"/>
              <w:kinsoku/>
              <w:wordWrap/>
              <w:topLinePunct w:val="0"/>
              <w:bidi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评分因素</w:t>
            </w:r>
          </w:p>
        </w:tc>
        <w:tc>
          <w:tcPr>
            <w:tcW w:w="576" w:type="pct"/>
            <w:noWrap w:val="0"/>
            <w:vAlign w:val="center"/>
          </w:tcPr>
          <w:p w14:paraId="641C2FF1">
            <w:pPr>
              <w:pStyle w:val="9"/>
              <w:keepNext w:val="0"/>
              <w:keepLines w:val="0"/>
              <w:pageBreakBefore w:val="0"/>
              <w:kinsoku/>
              <w:wordWrap/>
              <w:topLinePunct w:val="0"/>
              <w:bidi w:val="0"/>
              <w:snapToGrid w:val="0"/>
              <w:spacing w:line="240" w:lineRule="auto"/>
              <w:jc w:val="center"/>
              <w:rPr>
                <w:rFonts w:hint="eastAsia" w:ascii="宋体" w:hAnsi="宋体" w:eastAsia="宋体" w:cs="宋体"/>
                <w:b/>
                <w:sz w:val="24"/>
                <w:szCs w:val="24"/>
              </w:rPr>
            </w:pPr>
          </w:p>
        </w:tc>
        <w:tc>
          <w:tcPr>
            <w:tcW w:w="3321" w:type="pct"/>
            <w:gridSpan w:val="2"/>
            <w:noWrap w:val="0"/>
            <w:vAlign w:val="center"/>
          </w:tcPr>
          <w:p w14:paraId="219D97AA">
            <w:pPr>
              <w:pStyle w:val="9"/>
              <w:keepNext w:val="0"/>
              <w:keepLines w:val="0"/>
              <w:pageBreakBefore w:val="0"/>
              <w:kinsoku/>
              <w:wordWrap/>
              <w:topLinePunct w:val="0"/>
              <w:bidi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评分标准</w:t>
            </w:r>
          </w:p>
        </w:tc>
      </w:tr>
      <w:tr w14:paraId="4F79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restart"/>
            <w:noWrap w:val="0"/>
            <w:vAlign w:val="center"/>
          </w:tcPr>
          <w:p w14:paraId="2D122DAE">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b/>
                <w:sz w:val="24"/>
                <w:szCs w:val="24"/>
                <w:lang w:val="en-US" w:eastAsia="zh-CN"/>
              </w:rPr>
            </w:pPr>
            <w:r>
              <w:rPr>
                <w:rFonts w:hint="eastAsia" w:ascii="宋体" w:hAnsi="宋体" w:cs="宋体"/>
                <w:b/>
                <w:sz w:val="24"/>
                <w:szCs w:val="24"/>
                <w:lang w:val="en-US" w:eastAsia="zh-CN"/>
              </w:rPr>
              <w:t>技术部分</w:t>
            </w:r>
          </w:p>
        </w:tc>
        <w:tc>
          <w:tcPr>
            <w:tcW w:w="490" w:type="pct"/>
            <w:vMerge w:val="restart"/>
            <w:noWrap w:val="0"/>
            <w:vAlign w:val="center"/>
          </w:tcPr>
          <w:p w14:paraId="70BE09F0">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w:t>
            </w:r>
            <w:r>
              <w:rPr>
                <w:rFonts w:hint="eastAsia" w:ascii="宋体" w:hAnsi="宋体" w:cs="宋体"/>
                <w:kern w:val="0"/>
                <w:sz w:val="24"/>
                <w:szCs w:val="24"/>
                <w:highlight w:val="none"/>
                <w:lang w:val="en-US" w:eastAsia="zh-CN"/>
              </w:rPr>
              <w:t>6</w:t>
            </w:r>
            <w:r>
              <w:rPr>
                <w:rFonts w:hint="eastAsia" w:ascii="宋体" w:hAnsi="宋体" w:eastAsia="宋体" w:cs="宋体"/>
                <w:kern w:val="0"/>
                <w:sz w:val="24"/>
                <w:szCs w:val="24"/>
                <w:highlight w:val="none"/>
                <w:lang w:val="en-US" w:eastAsia="zh-CN"/>
              </w:rPr>
              <w:t>5分）</w:t>
            </w:r>
          </w:p>
          <w:p w14:paraId="36C6E14E">
            <w:pPr>
              <w:keepNext w:val="0"/>
              <w:keepLines w:val="0"/>
              <w:pageBreakBefore w:val="0"/>
              <w:tabs>
                <w:tab w:val="left" w:pos="342"/>
              </w:tabs>
              <w:kinsoku/>
              <w:wordWrap/>
              <w:topLinePunct w:val="0"/>
              <w:bidi w:val="0"/>
              <w:spacing w:line="240" w:lineRule="auto"/>
              <w:jc w:val="left"/>
              <w:rPr>
                <w:rFonts w:hint="eastAsia" w:ascii="宋体" w:hAnsi="宋体" w:eastAsia="宋体" w:cs="宋体"/>
                <w:b/>
                <w:sz w:val="24"/>
                <w:szCs w:val="24"/>
                <w:lang w:val="en-US" w:eastAsia="zh-CN"/>
              </w:rPr>
            </w:pPr>
          </w:p>
        </w:tc>
        <w:tc>
          <w:tcPr>
            <w:tcW w:w="576" w:type="pct"/>
            <w:vMerge w:val="restart"/>
            <w:noWrap w:val="0"/>
            <w:vAlign w:val="center"/>
          </w:tcPr>
          <w:p w14:paraId="37A6BD16">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rPr>
            </w:pPr>
          </w:p>
        </w:tc>
        <w:tc>
          <w:tcPr>
            <w:tcW w:w="853" w:type="pct"/>
            <w:noWrap w:val="0"/>
            <w:vAlign w:val="center"/>
          </w:tcPr>
          <w:p w14:paraId="0E18AEF3">
            <w:pPr>
              <w:pStyle w:val="3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0"/>
                <w:szCs w:val="20"/>
              </w:rPr>
            </w:pPr>
            <w:r>
              <w:rPr>
                <w:rFonts w:hint="eastAsia" w:ascii="宋体" w:hAnsi="宋体" w:eastAsia="宋体" w:cs="宋体"/>
                <w:color w:val="000000"/>
                <w:sz w:val="20"/>
                <w:szCs w:val="20"/>
              </w:rPr>
              <w:t>内容完整性和编制水平</w:t>
            </w:r>
          </w:p>
          <w:p w14:paraId="4605FB6A">
            <w:pPr>
              <w:pStyle w:val="3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Style w:val="31"/>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w:t>
            </w:r>
            <w:r>
              <w:rPr>
                <w:rFonts w:hint="eastAsia" w:ascii="宋体" w:hAnsi="宋体" w:cs="宋体"/>
                <w:color w:val="000000"/>
                <w:sz w:val="20"/>
                <w:szCs w:val="20"/>
                <w:lang w:val="en-US" w:eastAsia="zh-CN"/>
              </w:rPr>
              <w:t>10</w:t>
            </w:r>
            <w:r>
              <w:rPr>
                <w:rFonts w:hint="eastAsia" w:ascii="宋体" w:hAnsi="宋体" w:eastAsia="宋体" w:cs="宋体"/>
                <w:color w:val="000000"/>
                <w:sz w:val="20"/>
                <w:szCs w:val="20"/>
              </w:rPr>
              <w:t>分）</w:t>
            </w:r>
          </w:p>
        </w:tc>
        <w:tc>
          <w:tcPr>
            <w:tcW w:w="2467" w:type="pct"/>
            <w:noWrap w:val="0"/>
            <w:vAlign w:val="center"/>
          </w:tcPr>
          <w:p w14:paraId="0C5A1934">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针对本项目现场实际情况，对总体施工部署进行编制，施⼯组织设计完整性应涵盖章节⻬全、结构完整、逻辑清晰，完整包含⼯程概况、施⼯部署、核⼼技术⽅案、管控体系及保障措施等核⼼模块，内容紧密结合本项⽬实际特点，⽆缺项、漏项、⽆照搬通⽤模板、⽆明显与本项⽬⽆关内容等。提供方案者即得基础分5分，在此基础上：</w:t>
            </w:r>
          </w:p>
          <w:p w14:paraId="1E6FA86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20"/>
                <w:szCs w:val="20"/>
              </w:rPr>
            </w:pPr>
            <w:r>
              <w:rPr>
                <w:rFonts w:hint="eastAsia" w:ascii="宋体" w:hAnsi="宋体" w:cs="宋体"/>
                <w:color w:val="000000"/>
                <w:sz w:val="20"/>
                <w:szCs w:val="20"/>
                <w:lang w:val="en-US" w:eastAsia="zh-CN"/>
              </w:rPr>
              <w:t>1.施⼯组织设计</w:t>
            </w:r>
            <w:r>
              <w:rPr>
                <w:rFonts w:hint="eastAsia" w:ascii="宋体" w:hAnsi="宋体" w:eastAsia="宋体" w:cs="宋体"/>
                <w:color w:val="000000"/>
                <w:sz w:val="20"/>
                <w:szCs w:val="20"/>
              </w:rPr>
              <w:t>的内容完整、科学有效性、有针对性及编制水平</w:t>
            </w:r>
            <w:r>
              <w:rPr>
                <w:rFonts w:hint="eastAsia" w:ascii="宋体" w:hAnsi="宋体" w:cs="宋体"/>
                <w:color w:val="000000"/>
                <w:sz w:val="20"/>
                <w:szCs w:val="20"/>
                <w:lang w:eastAsia="zh-CN"/>
              </w:rPr>
              <w:t>高</w:t>
            </w:r>
            <w:r>
              <w:rPr>
                <w:rFonts w:hint="eastAsia" w:ascii="宋体" w:hAnsi="宋体" w:eastAsia="宋体" w:cs="宋体"/>
                <w:color w:val="000000"/>
                <w:sz w:val="20"/>
                <w:szCs w:val="20"/>
              </w:rPr>
              <w:t>，</w:t>
            </w:r>
            <w:r>
              <w:rPr>
                <w:rFonts w:hint="eastAsia" w:ascii="宋体" w:hAnsi="宋体" w:cs="宋体"/>
                <w:color w:val="000000"/>
                <w:sz w:val="20"/>
                <w:szCs w:val="20"/>
                <w:lang w:eastAsia="zh-CN"/>
              </w:rPr>
              <w:t>全部技术参数都满足，得</w:t>
            </w:r>
            <w:r>
              <w:rPr>
                <w:rFonts w:hint="eastAsia" w:ascii="宋体" w:hAnsi="宋体" w:cs="宋体"/>
                <w:color w:val="000000"/>
                <w:sz w:val="20"/>
                <w:szCs w:val="20"/>
                <w:lang w:val="en-US" w:eastAsia="zh-CN"/>
              </w:rPr>
              <w:t>5分</w:t>
            </w:r>
            <w:r>
              <w:rPr>
                <w:rFonts w:hint="eastAsia" w:ascii="宋体" w:hAnsi="宋体" w:eastAsia="宋体" w:cs="宋体"/>
                <w:color w:val="000000"/>
                <w:sz w:val="20"/>
                <w:szCs w:val="20"/>
              </w:rPr>
              <w:t>。</w:t>
            </w:r>
          </w:p>
          <w:p w14:paraId="4D31E70C">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20"/>
                <w:szCs w:val="20"/>
              </w:rPr>
            </w:pPr>
            <w:r>
              <w:rPr>
                <w:rFonts w:hint="eastAsia" w:ascii="宋体" w:hAnsi="宋体" w:cs="宋体"/>
                <w:color w:val="000000"/>
                <w:sz w:val="20"/>
                <w:szCs w:val="20"/>
                <w:lang w:val="en-US" w:eastAsia="zh-CN"/>
              </w:rPr>
              <w:t>2.施⼯组织设计</w:t>
            </w:r>
            <w:r>
              <w:rPr>
                <w:rFonts w:hint="eastAsia" w:ascii="宋体" w:hAnsi="宋体" w:eastAsia="宋体" w:cs="宋体"/>
                <w:color w:val="000000"/>
                <w:sz w:val="20"/>
                <w:szCs w:val="20"/>
              </w:rPr>
              <w:t>的内容完整</w:t>
            </w:r>
            <w:r>
              <w:rPr>
                <w:rFonts w:hint="eastAsia" w:ascii="宋体" w:hAnsi="宋体" w:cs="宋体"/>
                <w:color w:val="000000"/>
                <w:sz w:val="20"/>
                <w:szCs w:val="20"/>
                <w:lang w:eastAsia="zh-CN"/>
              </w:rPr>
              <w:t>性较好，</w:t>
            </w:r>
            <w:r>
              <w:rPr>
                <w:rFonts w:hint="eastAsia" w:ascii="宋体" w:hAnsi="宋体" w:eastAsia="宋体" w:cs="宋体"/>
                <w:color w:val="000000"/>
                <w:sz w:val="20"/>
                <w:szCs w:val="20"/>
              </w:rPr>
              <w:t>科学有效性、有针对性</w:t>
            </w:r>
            <w:r>
              <w:rPr>
                <w:rFonts w:hint="eastAsia" w:ascii="宋体" w:hAnsi="宋体" w:cs="宋体"/>
                <w:color w:val="000000"/>
                <w:sz w:val="20"/>
                <w:szCs w:val="20"/>
                <w:lang w:eastAsia="zh-CN"/>
              </w:rPr>
              <w:t>，</w:t>
            </w:r>
            <w:r>
              <w:rPr>
                <w:rFonts w:hint="eastAsia" w:ascii="宋体" w:hAnsi="宋体" w:eastAsia="宋体" w:cs="宋体"/>
                <w:color w:val="000000"/>
                <w:sz w:val="20"/>
                <w:szCs w:val="20"/>
              </w:rPr>
              <w:t>编制</w:t>
            </w:r>
            <w:r>
              <w:rPr>
                <w:rFonts w:hint="eastAsia" w:ascii="宋体" w:hAnsi="宋体" w:cs="宋体"/>
                <w:color w:val="000000"/>
                <w:sz w:val="20"/>
                <w:szCs w:val="20"/>
                <w:lang w:eastAsia="zh-CN"/>
              </w:rPr>
              <w:t>水平较高</w:t>
            </w:r>
            <w:r>
              <w:rPr>
                <w:rFonts w:hint="eastAsia" w:ascii="宋体" w:hAnsi="宋体" w:eastAsia="宋体" w:cs="宋体"/>
                <w:color w:val="000000"/>
                <w:sz w:val="20"/>
                <w:szCs w:val="20"/>
              </w:rPr>
              <w:t>，</w:t>
            </w:r>
            <w:r>
              <w:rPr>
                <w:rFonts w:hint="eastAsia" w:ascii="宋体" w:hAnsi="宋体" w:cs="宋体"/>
                <w:color w:val="000000"/>
                <w:sz w:val="20"/>
                <w:szCs w:val="20"/>
                <w:lang w:eastAsia="zh-CN"/>
              </w:rPr>
              <w:t>技术参数大部分满足，得</w:t>
            </w:r>
            <w:r>
              <w:rPr>
                <w:rFonts w:hint="eastAsia" w:ascii="宋体" w:hAnsi="宋体" w:cs="宋体"/>
                <w:color w:val="000000"/>
                <w:sz w:val="20"/>
                <w:szCs w:val="20"/>
                <w:lang w:val="en-US" w:eastAsia="zh-CN"/>
              </w:rPr>
              <w:t>3分</w:t>
            </w:r>
            <w:r>
              <w:rPr>
                <w:rFonts w:hint="eastAsia" w:ascii="宋体" w:hAnsi="宋体" w:eastAsia="宋体" w:cs="宋体"/>
                <w:color w:val="000000"/>
                <w:sz w:val="20"/>
                <w:szCs w:val="20"/>
              </w:rPr>
              <w:t>。</w:t>
            </w:r>
          </w:p>
          <w:p w14:paraId="0E9C1205">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20"/>
                <w:szCs w:val="20"/>
              </w:rPr>
            </w:pPr>
            <w:r>
              <w:rPr>
                <w:rFonts w:hint="eastAsia" w:ascii="宋体" w:hAnsi="宋体" w:cs="宋体"/>
                <w:color w:val="000000"/>
                <w:sz w:val="20"/>
                <w:szCs w:val="20"/>
                <w:lang w:val="en-US" w:eastAsia="zh-CN"/>
              </w:rPr>
              <w:t>3.施工部署</w:t>
            </w:r>
            <w:r>
              <w:rPr>
                <w:rFonts w:hint="eastAsia" w:ascii="宋体" w:hAnsi="宋体" w:eastAsia="宋体" w:cs="宋体"/>
                <w:color w:val="000000"/>
                <w:sz w:val="20"/>
                <w:szCs w:val="20"/>
              </w:rPr>
              <w:t>的内容</w:t>
            </w:r>
            <w:r>
              <w:rPr>
                <w:rFonts w:hint="eastAsia" w:ascii="宋体" w:hAnsi="宋体" w:cs="宋体"/>
                <w:color w:val="000000"/>
                <w:sz w:val="20"/>
                <w:szCs w:val="20"/>
                <w:lang w:eastAsia="zh-CN"/>
              </w:rPr>
              <w:t>不</w:t>
            </w:r>
            <w:r>
              <w:rPr>
                <w:rFonts w:hint="eastAsia" w:ascii="宋体" w:hAnsi="宋体" w:eastAsia="宋体" w:cs="宋体"/>
                <w:color w:val="000000"/>
                <w:sz w:val="20"/>
                <w:szCs w:val="20"/>
              </w:rPr>
              <w:t>完整</w:t>
            </w:r>
            <w:r>
              <w:rPr>
                <w:rFonts w:hint="eastAsia" w:ascii="宋体" w:hAnsi="宋体" w:cs="宋体"/>
                <w:color w:val="000000"/>
                <w:sz w:val="20"/>
                <w:szCs w:val="20"/>
                <w:lang w:eastAsia="zh-CN"/>
              </w:rPr>
              <w:t>，</w:t>
            </w:r>
            <w:r>
              <w:rPr>
                <w:rFonts w:hint="eastAsia" w:ascii="宋体" w:hAnsi="宋体" w:eastAsia="宋体" w:cs="宋体"/>
                <w:color w:val="000000"/>
                <w:sz w:val="20"/>
                <w:szCs w:val="20"/>
              </w:rPr>
              <w:t>科学有效性、有针对性</w:t>
            </w:r>
            <w:r>
              <w:rPr>
                <w:rFonts w:hint="eastAsia" w:ascii="宋体" w:hAnsi="宋体" w:cs="宋体"/>
                <w:color w:val="000000"/>
                <w:sz w:val="20"/>
                <w:szCs w:val="20"/>
                <w:lang w:eastAsia="zh-CN"/>
              </w:rPr>
              <w:t>体现较一般，</w:t>
            </w:r>
            <w:r>
              <w:rPr>
                <w:rFonts w:hint="eastAsia" w:ascii="宋体" w:hAnsi="宋体" w:eastAsia="宋体" w:cs="宋体"/>
                <w:color w:val="000000"/>
                <w:sz w:val="20"/>
                <w:szCs w:val="20"/>
              </w:rPr>
              <w:t>编制水平</w:t>
            </w:r>
            <w:r>
              <w:rPr>
                <w:rFonts w:hint="eastAsia" w:ascii="宋体" w:hAnsi="宋体" w:cs="宋体"/>
                <w:color w:val="000000"/>
                <w:sz w:val="20"/>
                <w:szCs w:val="20"/>
                <w:lang w:eastAsia="zh-CN"/>
              </w:rPr>
              <w:t>较一般</w:t>
            </w:r>
            <w:r>
              <w:rPr>
                <w:rFonts w:hint="eastAsia" w:ascii="宋体" w:hAnsi="宋体" w:eastAsia="宋体" w:cs="宋体"/>
                <w:color w:val="000000"/>
                <w:sz w:val="20"/>
                <w:szCs w:val="20"/>
              </w:rPr>
              <w:t>，</w:t>
            </w:r>
            <w:r>
              <w:rPr>
                <w:rFonts w:hint="eastAsia" w:ascii="宋体" w:hAnsi="宋体" w:cs="宋体"/>
                <w:color w:val="000000"/>
                <w:sz w:val="20"/>
                <w:szCs w:val="20"/>
                <w:lang w:eastAsia="zh-CN"/>
              </w:rPr>
              <w:t>技术参数小部分满足，得</w:t>
            </w:r>
            <w:r>
              <w:rPr>
                <w:rFonts w:hint="eastAsia" w:ascii="宋体" w:hAnsi="宋体" w:cs="宋体"/>
                <w:color w:val="000000"/>
                <w:sz w:val="20"/>
                <w:szCs w:val="20"/>
                <w:lang w:val="en-US" w:eastAsia="zh-CN"/>
              </w:rPr>
              <w:t>1分</w:t>
            </w:r>
            <w:r>
              <w:rPr>
                <w:rFonts w:hint="eastAsia" w:ascii="宋体" w:hAnsi="宋体" w:eastAsia="宋体" w:cs="宋体"/>
                <w:color w:val="000000"/>
                <w:sz w:val="20"/>
                <w:szCs w:val="20"/>
              </w:rPr>
              <w:t>。</w:t>
            </w:r>
          </w:p>
          <w:p w14:paraId="6314AFAE">
            <w:pPr>
              <w:pStyle w:val="2"/>
              <w:rPr>
                <w:rFonts w:hint="default" w:eastAsia="宋体"/>
                <w:lang w:val="en-US" w:eastAsia="zh-CN"/>
              </w:rPr>
            </w:pPr>
            <w:r>
              <w:rPr>
                <w:rFonts w:hint="eastAsia" w:ascii="宋体" w:hAnsi="宋体" w:cs="宋体"/>
                <w:color w:val="000000"/>
                <w:sz w:val="20"/>
                <w:szCs w:val="20"/>
                <w:lang w:val="en-US" w:eastAsia="zh-CN"/>
              </w:rPr>
              <w:t>4.未提供，不得分。</w:t>
            </w:r>
          </w:p>
        </w:tc>
      </w:tr>
      <w:tr w14:paraId="2A16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611" w:type="pct"/>
            <w:vMerge w:val="continue"/>
            <w:noWrap w:val="0"/>
            <w:vAlign w:val="center"/>
          </w:tcPr>
          <w:p w14:paraId="4FEBB13B">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sz w:val="24"/>
                <w:szCs w:val="24"/>
              </w:rPr>
            </w:pPr>
          </w:p>
        </w:tc>
        <w:tc>
          <w:tcPr>
            <w:tcW w:w="490" w:type="pct"/>
            <w:vMerge w:val="continue"/>
            <w:noWrap w:val="0"/>
            <w:vAlign w:val="center"/>
          </w:tcPr>
          <w:p w14:paraId="22F0157C">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sz w:val="24"/>
                <w:szCs w:val="24"/>
              </w:rPr>
            </w:pPr>
          </w:p>
        </w:tc>
        <w:tc>
          <w:tcPr>
            <w:tcW w:w="576" w:type="pct"/>
            <w:vMerge w:val="continue"/>
            <w:noWrap w:val="0"/>
            <w:vAlign w:val="center"/>
          </w:tcPr>
          <w:p w14:paraId="23F031E3">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sz w:val="24"/>
                <w:szCs w:val="24"/>
              </w:rPr>
            </w:pPr>
          </w:p>
        </w:tc>
        <w:tc>
          <w:tcPr>
            <w:tcW w:w="853" w:type="pct"/>
            <w:noWrap w:val="0"/>
            <w:vAlign w:val="center"/>
          </w:tcPr>
          <w:p w14:paraId="0BF162B6">
            <w:pPr>
              <w:pStyle w:val="3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0"/>
                <w:szCs w:val="20"/>
              </w:rPr>
            </w:pPr>
            <w:r>
              <w:rPr>
                <w:rFonts w:hint="eastAsia" w:ascii="宋体" w:hAnsi="宋体" w:eastAsia="宋体" w:cs="宋体"/>
                <w:color w:val="000000"/>
                <w:sz w:val="20"/>
                <w:szCs w:val="20"/>
              </w:rPr>
              <w:t>施工方案与技术措施</w:t>
            </w:r>
          </w:p>
          <w:p w14:paraId="5F9AF261">
            <w:pPr>
              <w:pStyle w:val="3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Style w:val="31"/>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w:t>
            </w:r>
            <w:r>
              <w:rPr>
                <w:rFonts w:hint="eastAsia" w:ascii="宋体" w:hAnsi="宋体" w:cs="宋体"/>
                <w:color w:val="000000"/>
                <w:sz w:val="20"/>
                <w:szCs w:val="20"/>
                <w:lang w:val="en-US" w:eastAsia="zh-CN"/>
              </w:rPr>
              <w:t>12</w:t>
            </w:r>
            <w:r>
              <w:rPr>
                <w:rFonts w:hint="eastAsia" w:ascii="宋体" w:hAnsi="宋体" w:eastAsia="宋体" w:cs="宋体"/>
                <w:color w:val="000000"/>
                <w:sz w:val="20"/>
                <w:szCs w:val="20"/>
              </w:rPr>
              <w:t>分）</w:t>
            </w:r>
          </w:p>
        </w:tc>
        <w:tc>
          <w:tcPr>
            <w:tcW w:w="2467" w:type="pct"/>
            <w:noWrap w:val="0"/>
            <w:vAlign w:val="center"/>
          </w:tcPr>
          <w:p w14:paraId="2305205D">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宋体" w:hAnsi="宋体" w:cs="宋体"/>
                <w:color w:val="000000"/>
                <w:sz w:val="20"/>
                <w:szCs w:val="20"/>
                <w:lang w:val="en-US" w:eastAsia="zh-CN"/>
              </w:rPr>
            </w:pPr>
            <w:r>
              <w:rPr>
                <w:rFonts w:hint="eastAsia" w:ascii="宋体" w:hAnsi="宋体" w:cs="宋体"/>
                <w:color w:val="000000"/>
                <w:sz w:val="20"/>
                <w:szCs w:val="20"/>
                <w:lang w:val="en-US" w:eastAsia="zh-CN"/>
              </w:rPr>
              <w:t>编针对项目</w:t>
            </w:r>
            <w:r>
              <w:rPr>
                <w:rFonts w:hint="eastAsia" w:ascii="宋体" w:hAnsi="宋体" w:eastAsia="宋体" w:cs="宋体"/>
                <w:color w:val="000000"/>
                <w:sz w:val="20"/>
                <w:szCs w:val="20"/>
              </w:rPr>
              <w:t>施工方案与技术措施</w:t>
            </w:r>
            <w:r>
              <w:rPr>
                <w:rFonts w:hint="eastAsia" w:ascii="宋体" w:hAnsi="宋体" w:cs="宋体"/>
                <w:color w:val="000000"/>
                <w:sz w:val="20"/>
                <w:szCs w:val="20"/>
                <w:lang w:val="en-US" w:eastAsia="zh-CN"/>
              </w:rPr>
              <w:t>编制方案，包含施⼯准备及进度安排、各分部分项⼯程主要施⼯技术⽅法、关键点控制措施、材料供应保障措施、成品保护措施等。提供方案即得基础分6分，在此基础上：</w:t>
            </w:r>
          </w:p>
          <w:p w14:paraId="6C6ED485">
            <w:pPr>
              <w:keepNext w:val="0"/>
              <w:keepLines w:val="0"/>
              <w:pageBreakBefore w:val="0"/>
              <w:widowControl/>
              <w:numPr>
                <w:ilvl w:val="0"/>
                <w:numId w:val="3"/>
              </w:numPr>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20"/>
                <w:szCs w:val="20"/>
              </w:rPr>
            </w:pPr>
            <w:r>
              <w:rPr>
                <w:rFonts w:hint="eastAsia" w:ascii="宋体" w:hAnsi="宋体" w:cs="宋体"/>
                <w:color w:val="000000"/>
                <w:sz w:val="20"/>
                <w:szCs w:val="20"/>
                <w:lang w:eastAsia="zh-CN"/>
              </w:rPr>
              <w:t>施</w:t>
            </w:r>
            <w:r>
              <w:rPr>
                <w:rFonts w:hint="eastAsia" w:ascii="宋体" w:hAnsi="宋体" w:eastAsia="宋体" w:cs="宋体"/>
                <w:color w:val="000000"/>
                <w:sz w:val="20"/>
                <w:szCs w:val="20"/>
              </w:rPr>
              <w:t>工方案合理，技术措施对工程质量、工期和施工安全</w:t>
            </w:r>
            <w:r>
              <w:rPr>
                <w:rFonts w:hint="eastAsia" w:ascii="宋体" w:hAnsi="宋体" w:cs="宋体"/>
                <w:color w:val="000000"/>
                <w:sz w:val="20"/>
                <w:szCs w:val="20"/>
                <w:lang w:eastAsia="zh-CN"/>
              </w:rPr>
              <w:t>保障有</w:t>
            </w:r>
            <w:r>
              <w:rPr>
                <w:rFonts w:hint="eastAsia" w:ascii="宋体" w:hAnsi="宋体" w:eastAsia="宋体" w:cs="宋体"/>
                <w:color w:val="000000"/>
                <w:sz w:val="20"/>
                <w:szCs w:val="20"/>
              </w:rPr>
              <w:t>针对性，</w:t>
            </w:r>
            <w:r>
              <w:rPr>
                <w:rFonts w:hint="eastAsia" w:ascii="宋体" w:hAnsi="宋体" w:eastAsia="宋体" w:cs="宋体"/>
                <w:color w:val="000000"/>
                <w:sz w:val="20"/>
                <w:szCs w:val="20"/>
                <w:lang w:val="en-US" w:eastAsia="zh-CN"/>
              </w:rPr>
              <w:t>得</w:t>
            </w:r>
            <w:r>
              <w:rPr>
                <w:rFonts w:hint="eastAsia" w:ascii="宋体" w:hAnsi="宋体" w:cs="宋体"/>
                <w:color w:val="000000"/>
                <w:sz w:val="20"/>
                <w:szCs w:val="20"/>
                <w:lang w:val="en-US" w:eastAsia="zh-CN"/>
              </w:rPr>
              <w:t>6</w:t>
            </w:r>
            <w:r>
              <w:rPr>
                <w:rFonts w:hint="eastAsia" w:ascii="宋体" w:hAnsi="宋体" w:eastAsia="宋体" w:cs="宋体"/>
                <w:color w:val="000000"/>
                <w:sz w:val="20"/>
                <w:szCs w:val="20"/>
                <w:lang w:val="en-US" w:eastAsia="zh-CN"/>
              </w:rPr>
              <w:t>分</w:t>
            </w:r>
            <w:r>
              <w:rPr>
                <w:rFonts w:hint="eastAsia" w:ascii="宋体" w:hAnsi="宋体" w:eastAsia="宋体" w:cs="宋体"/>
                <w:color w:val="000000"/>
                <w:sz w:val="20"/>
                <w:szCs w:val="20"/>
              </w:rPr>
              <w:t>。</w:t>
            </w:r>
          </w:p>
          <w:p w14:paraId="264A03DF">
            <w:pPr>
              <w:keepNext w:val="0"/>
              <w:keepLines w:val="0"/>
              <w:pageBreakBefore w:val="0"/>
              <w:widowControl/>
              <w:numPr>
                <w:ilvl w:val="0"/>
                <w:numId w:val="3"/>
              </w:numPr>
              <w:kinsoku/>
              <w:wordWrap/>
              <w:overflowPunct/>
              <w:topLinePunct w:val="0"/>
              <w:autoSpaceDE/>
              <w:autoSpaceDN/>
              <w:bidi w:val="0"/>
              <w:adjustRightInd w:val="0"/>
              <w:snapToGrid w:val="0"/>
              <w:spacing w:line="240" w:lineRule="auto"/>
              <w:jc w:val="left"/>
              <w:textAlignment w:val="auto"/>
              <w:rPr>
                <w:rStyle w:val="31"/>
                <w:rFonts w:hint="eastAsia" w:ascii="宋体" w:hAnsi="宋体" w:eastAsia="宋体" w:cs="宋体"/>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施工方案较合理，技术措施对工程质量、工期和施工安全的保障针对性较强的</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得</w:t>
            </w:r>
            <w:r>
              <w:rPr>
                <w:rFonts w:hint="eastAsia" w:ascii="宋体" w:hAnsi="宋体" w:cs="宋体"/>
                <w:i w:val="0"/>
                <w:iCs w:val="0"/>
                <w:color w:val="000000"/>
                <w:kern w:val="0"/>
                <w:sz w:val="20"/>
                <w:szCs w:val="20"/>
                <w:u w:val="none"/>
                <w:lang w:val="en-US" w:eastAsia="zh-CN" w:bidi="ar"/>
              </w:rPr>
              <w:t>3分</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3.施工方案</w:t>
            </w:r>
            <w:r>
              <w:rPr>
                <w:rFonts w:hint="eastAsia" w:ascii="宋体" w:hAnsi="宋体" w:cs="宋体"/>
                <w:i w:val="0"/>
                <w:iCs w:val="0"/>
                <w:color w:val="000000"/>
                <w:kern w:val="0"/>
                <w:sz w:val="20"/>
                <w:szCs w:val="20"/>
                <w:u w:val="none"/>
                <w:lang w:val="en-US" w:eastAsia="zh-CN" w:bidi="ar"/>
              </w:rPr>
              <w:t>一般</w:t>
            </w:r>
            <w:r>
              <w:rPr>
                <w:rFonts w:hint="eastAsia" w:ascii="宋体" w:hAnsi="宋体" w:eastAsia="宋体" w:cs="宋体"/>
                <w:i w:val="0"/>
                <w:iCs w:val="0"/>
                <w:color w:val="000000"/>
                <w:kern w:val="0"/>
                <w:sz w:val="20"/>
                <w:szCs w:val="20"/>
                <w:u w:val="none"/>
                <w:lang w:val="en-US" w:eastAsia="zh-CN" w:bidi="ar"/>
              </w:rPr>
              <w:t>，技术措施对工程质量、工期和施工安全的保障针对性</w:t>
            </w:r>
            <w:r>
              <w:rPr>
                <w:rFonts w:hint="eastAsia" w:ascii="宋体" w:hAnsi="宋体" w:cs="宋体"/>
                <w:i w:val="0"/>
                <w:iCs w:val="0"/>
                <w:color w:val="000000"/>
                <w:kern w:val="0"/>
                <w:sz w:val="20"/>
                <w:szCs w:val="20"/>
                <w:u w:val="none"/>
                <w:lang w:val="en-US" w:eastAsia="zh-CN" w:bidi="ar"/>
              </w:rPr>
              <w:t>一般</w:t>
            </w:r>
            <w:r>
              <w:rPr>
                <w:rFonts w:hint="eastAsia" w:ascii="宋体" w:hAnsi="宋体" w:eastAsia="宋体" w:cs="宋体"/>
                <w:i w:val="0"/>
                <w:iCs w:val="0"/>
                <w:color w:val="000000"/>
                <w:kern w:val="0"/>
                <w:sz w:val="20"/>
                <w:szCs w:val="20"/>
                <w:u w:val="none"/>
                <w:lang w:val="en-US" w:eastAsia="zh-CN" w:bidi="ar"/>
              </w:rPr>
              <w:t>的得</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分。</w:t>
            </w:r>
          </w:p>
          <w:p w14:paraId="5740B7B9">
            <w:pPr>
              <w:pStyle w:val="2"/>
              <w:rPr>
                <w:rFonts w:hint="default"/>
                <w:lang w:val="en-US" w:eastAsia="zh-CN"/>
              </w:rPr>
            </w:pPr>
            <w:r>
              <w:rPr>
                <w:rFonts w:hint="eastAsia" w:ascii="宋体" w:hAnsi="宋体" w:cs="宋体"/>
                <w:i w:val="0"/>
                <w:iCs w:val="0"/>
                <w:color w:val="000000"/>
                <w:kern w:val="0"/>
                <w:sz w:val="20"/>
                <w:szCs w:val="20"/>
                <w:u w:val="none"/>
                <w:lang w:val="en-US" w:eastAsia="zh-CN" w:bidi="ar"/>
              </w:rPr>
              <w:t>4.未提供不得分。</w:t>
            </w:r>
          </w:p>
        </w:tc>
      </w:tr>
      <w:tr w14:paraId="66B5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508EC9EF">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490" w:type="pct"/>
            <w:vMerge w:val="continue"/>
            <w:noWrap w:val="0"/>
            <w:vAlign w:val="center"/>
          </w:tcPr>
          <w:p w14:paraId="5C4660E6">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576" w:type="pct"/>
            <w:vMerge w:val="continue"/>
            <w:noWrap w:val="0"/>
            <w:vAlign w:val="center"/>
          </w:tcPr>
          <w:p w14:paraId="4185B6B0">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853" w:type="pct"/>
            <w:noWrap w:val="0"/>
            <w:vAlign w:val="center"/>
          </w:tcPr>
          <w:p w14:paraId="7F0C9F2B">
            <w:pPr>
              <w:spacing w:line="360" w:lineRule="auto"/>
              <w:jc w:val="center"/>
              <w:rPr>
                <w:rFonts w:hint="eastAsia" w:ascii="宋体" w:hAnsi="宋体" w:cs="宋体"/>
                <w:kern w:val="0"/>
                <w:sz w:val="20"/>
                <w:szCs w:val="20"/>
              </w:rPr>
            </w:pPr>
            <w:r>
              <w:rPr>
                <w:rFonts w:hint="eastAsia" w:ascii="宋体" w:hAnsi="宋体" w:cs="宋体"/>
                <w:kern w:val="0"/>
                <w:sz w:val="20"/>
                <w:szCs w:val="20"/>
              </w:rPr>
              <w:t>施工安全</w:t>
            </w:r>
            <w:r>
              <w:rPr>
                <w:rFonts w:hint="eastAsia" w:ascii="宋体" w:hAnsi="宋体" w:cs="宋体"/>
                <w:kern w:val="0"/>
                <w:sz w:val="20"/>
                <w:szCs w:val="20"/>
                <w:lang w:eastAsia="zh-CN"/>
              </w:rPr>
              <w:t>文明</w:t>
            </w:r>
            <w:r>
              <w:rPr>
                <w:rFonts w:hint="eastAsia" w:ascii="宋体" w:hAnsi="宋体" w:cs="宋体"/>
                <w:kern w:val="0"/>
                <w:sz w:val="20"/>
                <w:szCs w:val="20"/>
              </w:rPr>
              <w:t>措施计划</w:t>
            </w:r>
          </w:p>
          <w:p w14:paraId="26AAC50D">
            <w:pPr>
              <w:spacing w:line="360" w:lineRule="auto"/>
              <w:jc w:val="center"/>
              <w:rPr>
                <w:rFonts w:hint="eastAsia" w:ascii="宋体" w:hAnsi="宋体" w:eastAsia="宋体" w:cs="宋体"/>
                <w:kern w:val="0"/>
                <w:sz w:val="20"/>
                <w:szCs w:val="20"/>
                <w:lang w:val="en-US" w:eastAsia="zh-CN" w:bidi="ar-SA"/>
              </w:rPr>
            </w:pPr>
            <w:r>
              <w:rPr>
                <w:rFonts w:hint="eastAsia" w:ascii="宋体" w:hAnsi="宋体" w:cs="宋体"/>
                <w:kern w:val="0"/>
                <w:sz w:val="20"/>
                <w:szCs w:val="20"/>
                <w:lang w:eastAsia="zh-CN"/>
              </w:rPr>
              <w:t>（</w:t>
            </w:r>
            <w:r>
              <w:rPr>
                <w:rFonts w:hint="eastAsia" w:ascii="宋体" w:hAnsi="宋体" w:cs="宋体"/>
                <w:kern w:val="0"/>
                <w:sz w:val="20"/>
                <w:szCs w:val="20"/>
                <w:lang w:val="en-US" w:eastAsia="zh-CN"/>
              </w:rPr>
              <w:t>10</w:t>
            </w:r>
            <w:r>
              <w:rPr>
                <w:rFonts w:hint="eastAsia" w:ascii="宋体" w:hAnsi="宋体" w:cs="宋体"/>
                <w:kern w:val="0"/>
                <w:sz w:val="20"/>
                <w:szCs w:val="20"/>
              </w:rPr>
              <w:t>分</w:t>
            </w:r>
            <w:r>
              <w:rPr>
                <w:rFonts w:hint="eastAsia" w:ascii="宋体" w:hAnsi="宋体" w:cs="宋体"/>
                <w:kern w:val="0"/>
                <w:sz w:val="20"/>
                <w:szCs w:val="20"/>
                <w:lang w:eastAsia="zh-CN"/>
              </w:rPr>
              <w:t>）</w:t>
            </w:r>
          </w:p>
        </w:tc>
        <w:tc>
          <w:tcPr>
            <w:tcW w:w="2467" w:type="pct"/>
            <w:noWrap w:val="0"/>
            <w:vAlign w:val="center"/>
          </w:tcPr>
          <w:p w14:paraId="05B4DDAA">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投标人针对</w:t>
            </w:r>
            <w:r>
              <w:rPr>
                <w:rFonts w:hint="eastAsia" w:ascii="宋体" w:hAnsi="宋体" w:cs="宋体"/>
                <w:kern w:val="0"/>
                <w:sz w:val="20"/>
                <w:szCs w:val="20"/>
                <w:highlight w:val="none"/>
              </w:rPr>
              <w:t>施工安全</w:t>
            </w:r>
            <w:r>
              <w:rPr>
                <w:rFonts w:hint="eastAsia" w:ascii="宋体" w:hAnsi="宋体" w:cs="宋体"/>
                <w:kern w:val="0"/>
                <w:sz w:val="20"/>
                <w:szCs w:val="20"/>
                <w:highlight w:val="none"/>
                <w:lang w:eastAsia="zh-CN"/>
              </w:rPr>
              <w:t>文明</w:t>
            </w:r>
            <w:r>
              <w:rPr>
                <w:rFonts w:hint="eastAsia" w:ascii="宋体" w:hAnsi="宋体" w:cs="宋体"/>
                <w:kern w:val="0"/>
                <w:sz w:val="20"/>
                <w:szCs w:val="20"/>
                <w:highlight w:val="none"/>
              </w:rPr>
              <w:t>措施</w:t>
            </w:r>
            <w:r>
              <w:rPr>
                <w:rFonts w:hint="eastAsia" w:ascii="宋体" w:hAnsi="宋体" w:cs="宋体"/>
                <w:kern w:val="0"/>
                <w:sz w:val="20"/>
                <w:szCs w:val="20"/>
                <w:highlight w:val="none"/>
                <w:lang w:val="en-US" w:eastAsia="zh-CN"/>
              </w:rPr>
              <w:t>编制</w:t>
            </w:r>
            <w:r>
              <w:rPr>
                <w:rFonts w:hint="eastAsia" w:ascii="宋体" w:hAnsi="宋体" w:cs="宋体"/>
                <w:kern w:val="0"/>
                <w:sz w:val="20"/>
                <w:szCs w:val="20"/>
                <w:highlight w:val="none"/>
              </w:rPr>
              <w:t>计划</w:t>
            </w:r>
            <w:r>
              <w:rPr>
                <w:rFonts w:hint="eastAsia" w:ascii="宋体" w:hAnsi="宋体" w:cs="宋体"/>
                <w:color w:val="000000"/>
                <w:sz w:val="20"/>
                <w:szCs w:val="20"/>
                <w:highlight w:val="none"/>
                <w:lang w:val="en-US" w:eastAsia="zh-CN"/>
              </w:rPr>
              <w:t>方案。要求安全体系设置合理、安全⽣产责任到⼈职责分明、⽂明施⼯落实到位、安全隐患预控有前瞻性、保障措施完善可⾏、有针对性地减少噪声、建筑垃圾清理彻底性、建筑垃圾运输时效性有详细措施。提供方案者即得基础分5分，在此基础上：</w:t>
            </w:r>
          </w:p>
          <w:p w14:paraId="0E1294BD">
            <w:pPr>
              <w:autoSpaceDE w:val="0"/>
              <w:autoSpaceDN w:val="0"/>
              <w:adjustRightInd w:val="0"/>
              <w:spacing w:line="360" w:lineRule="auto"/>
              <w:rPr>
                <w:rFonts w:hint="eastAsia" w:ascii="宋体" w:hAnsi="宋体" w:cs="宋体"/>
                <w:kern w:val="0"/>
                <w:sz w:val="20"/>
                <w:szCs w:val="20"/>
                <w:highlight w:val="none"/>
              </w:rPr>
            </w:pPr>
            <w:r>
              <w:rPr>
                <w:rFonts w:hint="eastAsia" w:ascii="宋体" w:hAnsi="宋体" w:cs="宋体"/>
                <w:kern w:val="0"/>
                <w:sz w:val="20"/>
                <w:szCs w:val="20"/>
                <w:highlight w:val="none"/>
                <w:lang w:val="en-US" w:eastAsia="zh-CN"/>
              </w:rPr>
              <w:t>1.</w:t>
            </w:r>
            <w:r>
              <w:rPr>
                <w:rFonts w:hint="eastAsia" w:ascii="宋体" w:hAnsi="宋体" w:cs="宋体"/>
                <w:kern w:val="0"/>
                <w:sz w:val="20"/>
                <w:szCs w:val="20"/>
                <w:highlight w:val="none"/>
              </w:rPr>
              <w:t>措施完善可行，安全及保卫工作有</w:t>
            </w:r>
            <w:r>
              <w:rPr>
                <w:rFonts w:hint="eastAsia" w:ascii="宋体" w:hAnsi="宋体" w:cs="宋体"/>
                <w:kern w:val="0"/>
                <w:sz w:val="20"/>
                <w:szCs w:val="20"/>
                <w:highlight w:val="none"/>
                <w:lang w:eastAsia="zh-CN"/>
              </w:rPr>
              <w:t>针对性</w:t>
            </w:r>
            <w:r>
              <w:rPr>
                <w:rFonts w:hint="eastAsia" w:ascii="宋体" w:hAnsi="宋体" w:cs="宋体"/>
                <w:kern w:val="0"/>
                <w:sz w:val="20"/>
                <w:szCs w:val="20"/>
                <w:highlight w:val="none"/>
              </w:rPr>
              <w:t>得</w:t>
            </w:r>
            <w:r>
              <w:rPr>
                <w:rFonts w:hint="eastAsia" w:ascii="宋体" w:hAnsi="宋体" w:cs="宋体"/>
                <w:kern w:val="0"/>
                <w:sz w:val="20"/>
                <w:szCs w:val="20"/>
                <w:highlight w:val="none"/>
                <w:lang w:val="en-US" w:eastAsia="zh-CN"/>
              </w:rPr>
              <w:t>5</w:t>
            </w:r>
            <w:r>
              <w:rPr>
                <w:rFonts w:hint="eastAsia" w:ascii="宋体" w:hAnsi="宋体" w:cs="宋体"/>
                <w:kern w:val="0"/>
                <w:sz w:val="20"/>
                <w:szCs w:val="20"/>
                <w:highlight w:val="none"/>
              </w:rPr>
              <w:t>分。</w:t>
            </w:r>
          </w:p>
          <w:p w14:paraId="32A7C93C">
            <w:pPr>
              <w:autoSpaceDE w:val="0"/>
              <w:autoSpaceDN w:val="0"/>
              <w:adjustRightInd w:val="0"/>
              <w:spacing w:line="360" w:lineRule="auto"/>
              <w:rPr>
                <w:rFonts w:hint="eastAsia" w:ascii="宋体" w:hAnsi="宋体" w:cs="宋体"/>
                <w:kern w:val="0"/>
                <w:sz w:val="20"/>
                <w:szCs w:val="20"/>
                <w:highlight w:val="none"/>
              </w:rPr>
            </w:pPr>
            <w:r>
              <w:rPr>
                <w:rFonts w:hint="eastAsia" w:ascii="宋体" w:hAnsi="宋体" w:cs="宋体"/>
                <w:kern w:val="0"/>
                <w:sz w:val="20"/>
                <w:szCs w:val="20"/>
                <w:highlight w:val="none"/>
                <w:lang w:val="en-US" w:eastAsia="zh-CN"/>
              </w:rPr>
              <w:t>2.</w:t>
            </w:r>
            <w:r>
              <w:rPr>
                <w:rFonts w:hint="eastAsia" w:ascii="宋体" w:hAnsi="宋体" w:cs="宋体"/>
                <w:kern w:val="0"/>
                <w:sz w:val="20"/>
                <w:szCs w:val="20"/>
                <w:highlight w:val="none"/>
              </w:rPr>
              <w:t>措施</w:t>
            </w:r>
            <w:r>
              <w:rPr>
                <w:rFonts w:hint="eastAsia" w:ascii="宋体" w:hAnsi="宋体" w:cs="宋体"/>
                <w:kern w:val="0"/>
                <w:sz w:val="20"/>
                <w:szCs w:val="20"/>
                <w:highlight w:val="none"/>
                <w:lang w:eastAsia="zh-CN"/>
              </w:rPr>
              <w:t>较</w:t>
            </w:r>
            <w:r>
              <w:rPr>
                <w:rFonts w:hint="eastAsia" w:ascii="宋体" w:hAnsi="宋体" w:cs="宋体"/>
                <w:kern w:val="0"/>
                <w:sz w:val="20"/>
                <w:szCs w:val="20"/>
                <w:highlight w:val="none"/>
              </w:rPr>
              <w:t>完善，安全及保卫工作</w:t>
            </w:r>
            <w:r>
              <w:rPr>
                <w:rFonts w:hint="eastAsia" w:ascii="宋体" w:hAnsi="宋体" w:cs="宋体"/>
                <w:kern w:val="0"/>
                <w:sz w:val="20"/>
                <w:szCs w:val="20"/>
                <w:highlight w:val="none"/>
                <w:lang w:eastAsia="zh-CN"/>
              </w:rPr>
              <w:t>较</w:t>
            </w:r>
            <w:r>
              <w:rPr>
                <w:rFonts w:hint="eastAsia" w:ascii="宋体" w:hAnsi="宋体" w:cs="宋体"/>
                <w:kern w:val="0"/>
                <w:sz w:val="20"/>
                <w:szCs w:val="20"/>
                <w:highlight w:val="none"/>
              </w:rPr>
              <w:t>有</w:t>
            </w:r>
            <w:r>
              <w:rPr>
                <w:rFonts w:hint="eastAsia" w:ascii="宋体" w:hAnsi="宋体" w:cs="宋体"/>
                <w:kern w:val="0"/>
                <w:sz w:val="20"/>
                <w:szCs w:val="20"/>
                <w:highlight w:val="none"/>
                <w:lang w:eastAsia="zh-CN"/>
              </w:rPr>
              <w:t>针对性得</w:t>
            </w:r>
            <w:r>
              <w:rPr>
                <w:rFonts w:hint="eastAsia" w:ascii="宋体" w:hAnsi="宋体" w:cs="宋体"/>
                <w:kern w:val="0"/>
                <w:sz w:val="20"/>
                <w:szCs w:val="20"/>
                <w:highlight w:val="none"/>
              </w:rPr>
              <w:t xml:space="preserve"> </w:t>
            </w:r>
            <w:r>
              <w:rPr>
                <w:rFonts w:hint="eastAsia" w:ascii="宋体" w:hAnsi="宋体" w:cs="宋体"/>
                <w:kern w:val="0"/>
                <w:sz w:val="20"/>
                <w:szCs w:val="20"/>
                <w:highlight w:val="none"/>
                <w:lang w:val="en-US" w:eastAsia="zh-CN"/>
              </w:rPr>
              <w:t>3</w:t>
            </w:r>
            <w:r>
              <w:rPr>
                <w:rFonts w:hint="eastAsia" w:ascii="宋体" w:hAnsi="宋体" w:cs="宋体"/>
                <w:kern w:val="0"/>
                <w:sz w:val="20"/>
                <w:szCs w:val="20"/>
                <w:highlight w:val="none"/>
              </w:rPr>
              <w:t>分。</w:t>
            </w:r>
          </w:p>
          <w:p w14:paraId="33327E91">
            <w:pPr>
              <w:autoSpaceDE w:val="0"/>
              <w:autoSpaceDN w:val="0"/>
              <w:adjustRightInd w:val="0"/>
              <w:spacing w:line="360" w:lineRule="auto"/>
              <w:rPr>
                <w:rFonts w:hint="eastAsia" w:ascii="宋体" w:hAnsi="宋体" w:cs="宋体"/>
                <w:kern w:val="0"/>
                <w:sz w:val="20"/>
                <w:szCs w:val="20"/>
                <w:highlight w:val="none"/>
              </w:rPr>
            </w:pPr>
            <w:r>
              <w:rPr>
                <w:rFonts w:hint="eastAsia" w:ascii="宋体" w:hAnsi="宋体" w:cs="宋体"/>
                <w:kern w:val="0"/>
                <w:sz w:val="20"/>
                <w:szCs w:val="20"/>
                <w:highlight w:val="none"/>
                <w:lang w:val="en-US" w:eastAsia="zh-CN"/>
              </w:rPr>
              <w:t>3.</w:t>
            </w:r>
            <w:r>
              <w:rPr>
                <w:rFonts w:hint="eastAsia" w:ascii="宋体" w:hAnsi="宋体" w:cs="宋体"/>
                <w:kern w:val="0"/>
                <w:sz w:val="20"/>
                <w:szCs w:val="20"/>
                <w:highlight w:val="none"/>
              </w:rPr>
              <w:t>措施</w:t>
            </w:r>
            <w:r>
              <w:rPr>
                <w:rFonts w:hint="eastAsia" w:ascii="宋体" w:hAnsi="宋体" w:cs="宋体"/>
                <w:kern w:val="0"/>
                <w:sz w:val="20"/>
                <w:szCs w:val="20"/>
                <w:highlight w:val="none"/>
                <w:lang w:eastAsia="zh-CN"/>
              </w:rPr>
              <w:t>不</w:t>
            </w:r>
            <w:r>
              <w:rPr>
                <w:rFonts w:hint="eastAsia" w:ascii="宋体" w:hAnsi="宋体" w:cs="宋体"/>
                <w:kern w:val="0"/>
                <w:sz w:val="20"/>
                <w:szCs w:val="20"/>
                <w:highlight w:val="none"/>
              </w:rPr>
              <w:t>完善，安全及保卫工作</w:t>
            </w:r>
            <w:r>
              <w:rPr>
                <w:rFonts w:hint="eastAsia" w:ascii="宋体" w:hAnsi="宋体" w:cs="宋体"/>
                <w:kern w:val="0"/>
                <w:sz w:val="20"/>
                <w:szCs w:val="20"/>
                <w:highlight w:val="none"/>
                <w:lang w:eastAsia="zh-CN"/>
              </w:rPr>
              <w:t>针对性一般的</w:t>
            </w:r>
            <w:r>
              <w:rPr>
                <w:rFonts w:hint="eastAsia" w:ascii="宋体" w:hAnsi="宋体" w:cs="宋体"/>
                <w:kern w:val="0"/>
                <w:sz w:val="20"/>
                <w:szCs w:val="20"/>
                <w:highlight w:val="none"/>
              </w:rPr>
              <w:t xml:space="preserve">得 </w:t>
            </w:r>
            <w:r>
              <w:rPr>
                <w:rFonts w:hint="eastAsia" w:ascii="宋体" w:hAnsi="宋体" w:cs="宋体"/>
                <w:kern w:val="0"/>
                <w:sz w:val="20"/>
                <w:szCs w:val="20"/>
                <w:highlight w:val="none"/>
                <w:lang w:val="en-US" w:eastAsia="zh-CN"/>
              </w:rPr>
              <w:t>1</w:t>
            </w:r>
            <w:r>
              <w:rPr>
                <w:rFonts w:hint="eastAsia" w:ascii="宋体" w:hAnsi="宋体" w:cs="宋体"/>
                <w:kern w:val="0"/>
                <w:sz w:val="20"/>
                <w:szCs w:val="20"/>
                <w:highlight w:val="none"/>
              </w:rPr>
              <w:t>分。</w:t>
            </w:r>
          </w:p>
          <w:p w14:paraId="59594240">
            <w:pPr>
              <w:pStyle w:val="2"/>
              <w:rPr>
                <w:rFonts w:hint="default" w:eastAsia="宋体"/>
                <w:lang w:val="en-US" w:eastAsia="zh-CN"/>
              </w:rPr>
            </w:pPr>
            <w:r>
              <w:rPr>
                <w:rFonts w:hint="eastAsia" w:ascii="宋体" w:hAnsi="宋体" w:cs="宋体"/>
                <w:kern w:val="0"/>
                <w:sz w:val="20"/>
                <w:szCs w:val="20"/>
                <w:highlight w:val="none"/>
                <w:lang w:val="en-US" w:eastAsia="zh-CN"/>
              </w:rPr>
              <w:t>4.未提供，不得分。</w:t>
            </w:r>
          </w:p>
        </w:tc>
      </w:tr>
      <w:tr w14:paraId="0D64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5169597B">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490" w:type="pct"/>
            <w:vMerge w:val="continue"/>
            <w:noWrap w:val="0"/>
            <w:vAlign w:val="center"/>
          </w:tcPr>
          <w:p w14:paraId="6A477A4D">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576" w:type="pct"/>
            <w:vMerge w:val="continue"/>
            <w:noWrap w:val="0"/>
            <w:vAlign w:val="center"/>
          </w:tcPr>
          <w:p w14:paraId="5A92601F">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853" w:type="pct"/>
            <w:noWrap w:val="0"/>
            <w:vAlign w:val="center"/>
          </w:tcPr>
          <w:p w14:paraId="4D679A2C">
            <w:pPr>
              <w:pStyle w:val="32"/>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0"/>
                <w:szCs w:val="20"/>
              </w:rPr>
            </w:pPr>
            <w:r>
              <w:rPr>
                <w:rFonts w:hint="eastAsia" w:ascii="宋体" w:hAnsi="宋体" w:eastAsia="宋体" w:cs="宋体"/>
                <w:color w:val="000000"/>
                <w:sz w:val="20"/>
                <w:szCs w:val="20"/>
              </w:rPr>
              <w:t>质量、环境管理体系与措施</w:t>
            </w:r>
          </w:p>
          <w:p w14:paraId="6009973C">
            <w:pPr>
              <w:pStyle w:val="32"/>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Style w:val="31"/>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w:t>
            </w:r>
            <w:r>
              <w:rPr>
                <w:rFonts w:hint="eastAsia" w:hAnsi="宋体" w:cs="宋体"/>
                <w:color w:val="000000"/>
                <w:sz w:val="20"/>
                <w:szCs w:val="20"/>
                <w:lang w:val="en-US" w:eastAsia="zh-CN"/>
              </w:rPr>
              <w:t>6</w:t>
            </w:r>
            <w:r>
              <w:rPr>
                <w:rFonts w:hint="eastAsia" w:ascii="宋体" w:hAnsi="宋体" w:eastAsia="宋体" w:cs="宋体"/>
                <w:color w:val="000000"/>
                <w:sz w:val="20"/>
                <w:szCs w:val="20"/>
              </w:rPr>
              <w:t>分）</w:t>
            </w:r>
          </w:p>
        </w:tc>
        <w:tc>
          <w:tcPr>
            <w:tcW w:w="2467" w:type="pct"/>
            <w:noWrap w:val="0"/>
            <w:vAlign w:val="center"/>
          </w:tcPr>
          <w:p w14:paraId="2046DAE4">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投标人针对项目提供</w:t>
            </w:r>
            <w:r>
              <w:rPr>
                <w:rFonts w:hint="eastAsia" w:ascii="宋体" w:hAnsi="宋体" w:eastAsia="宋体" w:cs="宋体"/>
                <w:color w:val="000000"/>
                <w:sz w:val="20"/>
                <w:szCs w:val="20"/>
                <w:highlight w:val="none"/>
              </w:rPr>
              <w:t>质量、环境管理体系与措施</w:t>
            </w:r>
            <w:r>
              <w:rPr>
                <w:rFonts w:hint="eastAsia" w:ascii="宋体" w:hAnsi="宋体" w:cs="宋体"/>
                <w:color w:val="000000"/>
                <w:sz w:val="20"/>
                <w:szCs w:val="20"/>
                <w:highlight w:val="none"/>
                <w:lang w:val="en-US" w:eastAsia="zh-CN"/>
              </w:rPr>
              <w:t>方案，包含质量保证体系、质量责任制度、质量检验制度、职⼯教育制度、保修制度有具体对应措施等。提供方案即得基础分3分，在此基础上：</w:t>
            </w:r>
          </w:p>
          <w:p w14:paraId="440D0B94">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20"/>
                <w:szCs w:val="20"/>
                <w:highlight w:val="none"/>
              </w:rPr>
            </w:pPr>
            <w:r>
              <w:rPr>
                <w:rFonts w:hint="eastAsia" w:ascii="宋体" w:hAnsi="宋体" w:cs="宋体"/>
                <w:color w:val="000000"/>
                <w:sz w:val="20"/>
                <w:szCs w:val="20"/>
                <w:highlight w:val="none"/>
                <w:lang w:val="en-US" w:eastAsia="zh-CN"/>
              </w:rPr>
              <w:t>1.</w:t>
            </w:r>
            <w:r>
              <w:rPr>
                <w:rFonts w:hint="eastAsia" w:ascii="宋体" w:hAnsi="宋体" w:eastAsia="宋体" w:cs="宋体"/>
                <w:color w:val="000000"/>
                <w:sz w:val="20"/>
                <w:szCs w:val="20"/>
                <w:highlight w:val="none"/>
              </w:rPr>
              <w:t>质量管理体系与措施的合理、有效、有针对性，</w:t>
            </w:r>
            <w:r>
              <w:rPr>
                <w:rFonts w:hint="eastAsia" w:ascii="宋体" w:hAnsi="宋体" w:eastAsia="宋体" w:cs="宋体"/>
                <w:color w:val="000000"/>
                <w:sz w:val="20"/>
                <w:szCs w:val="20"/>
                <w:highlight w:val="none"/>
                <w:lang w:val="en-US" w:eastAsia="zh-CN"/>
              </w:rPr>
              <w:t>得</w:t>
            </w:r>
            <w:r>
              <w:rPr>
                <w:rFonts w:hint="eastAsia" w:ascii="宋体" w:hAnsi="宋体" w:cs="宋体"/>
                <w:color w:val="000000"/>
                <w:sz w:val="20"/>
                <w:szCs w:val="20"/>
                <w:highlight w:val="none"/>
                <w:lang w:val="en-US" w:eastAsia="zh-CN"/>
              </w:rPr>
              <w:t>3</w:t>
            </w:r>
            <w:r>
              <w:rPr>
                <w:rFonts w:hint="eastAsia" w:ascii="宋体" w:hAnsi="宋体" w:eastAsia="宋体" w:cs="宋体"/>
                <w:color w:val="000000"/>
                <w:sz w:val="20"/>
                <w:szCs w:val="20"/>
                <w:highlight w:val="none"/>
                <w:lang w:val="en-US" w:eastAsia="zh-CN"/>
              </w:rPr>
              <w:t>分</w:t>
            </w:r>
            <w:r>
              <w:rPr>
                <w:rFonts w:hint="eastAsia" w:ascii="宋体" w:hAnsi="宋体" w:eastAsia="宋体" w:cs="宋体"/>
                <w:color w:val="000000"/>
                <w:sz w:val="20"/>
                <w:szCs w:val="20"/>
                <w:highlight w:val="none"/>
              </w:rPr>
              <w:t>。</w:t>
            </w:r>
          </w:p>
          <w:p w14:paraId="6162A98F">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质量管理体系与措施较合理、可靠、较有效的</w:t>
            </w:r>
            <w:r>
              <w:rPr>
                <w:rFonts w:hint="eastAsia" w:ascii="宋体" w:hAnsi="宋体" w:cs="宋体"/>
                <w:i w:val="0"/>
                <w:iCs w:val="0"/>
                <w:color w:val="000000"/>
                <w:kern w:val="0"/>
                <w:sz w:val="20"/>
                <w:szCs w:val="20"/>
                <w:highlight w:val="none"/>
                <w:u w:val="none"/>
                <w:lang w:val="en-US" w:eastAsia="zh-CN" w:bidi="ar"/>
              </w:rPr>
              <w:t>，</w:t>
            </w:r>
            <w:r>
              <w:rPr>
                <w:rFonts w:hint="eastAsia" w:ascii="宋体" w:hAnsi="宋体" w:eastAsia="宋体" w:cs="宋体"/>
                <w:i w:val="0"/>
                <w:iCs w:val="0"/>
                <w:color w:val="000000"/>
                <w:kern w:val="0"/>
                <w:sz w:val="20"/>
                <w:szCs w:val="20"/>
                <w:highlight w:val="none"/>
                <w:u w:val="none"/>
                <w:lang w:val="en-US" w:eastAsia="zh-CN" w:bidi="ar"/>
              </w:rPr>
              <w:t>得</w:t>
            </w:r>
            <w:r>
              <w:rPr>
                <w:rFonts w:hint="eastAsia" w:ascii="宋体" w:hAnsi="宋体" w:cs="宋体"/>
                <w:i w:val="0"/>
                <w:iCs w:val="0"/>
                <w:color w:val="000000"/>
                <w:kern w:val="0"/>
                <w:sz w:val="20"/>
                <w:szCs w:val="20"/>
                <w:highlight w:val="none"/>
                <w:u w:val="none"/>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3.质量管理体系与措施较</w:t>
            </w:r>
            <w:r>
              <w:rPr>
                <w:rFonts w:hint="eastAsia" w:ascii="宋体" w:hAnsi="宋体" w:cs="宋体"/>
                <w:i w:val="0"/>
                <w:iCs w:val="0"/>
                <w:color w:val="000000"/>
                <w:kern w:val="0"/>
                <w:sz w:val="20"/>
                <w:szCs w:val="20"/>
                <w:highlight w:val="none"/>
                <w:u w:val="none"/>
                <w:lang w:val="en-US" w:eastAsia="zh-CN" w:bidi="ar"/>
              </w:rPr>
              <w:t>一般</w:t>
            </w:r>
            <w:r>
              <w:rPr>
                <w:rFonts w:hint="eastAsia" w:ascii="宋体" w:hAnsi="宋体" w:eastAsia="宋体" w:cs="宋体"/>
                <w:i w:val="0"/>
                <w:iCs w:val="0"/>
                <w:color w:val="000000"/>
                <w:kern w:val="0"/>
                <w:sz w:val="20"/>
                <w:szCs w:val="20"/>
                <w:highlight w:val="none"/>
                <w:u w:val="none"/>
                <w:lang w:val="en-US" w:eastAsia="zh-CN" w:bidi="ar"/>
              </w:rPr>
              <w:t>、可靠性有效性</w:t>
            </w:r>
            <w:r>
              <w:rPr>
                <w:rFonts w:hint="eastAsia" w:ascii="宋体" w:hAnsi="宋体" w:cs="宋体"/>
                <w:i w:val="0"/>
                <w:iCs w:val="0"/>
                <w:color w:val="000000"/>
                <w:kern w:val="0"/>
                <w:sz w:val="20"/>
                <w:szCs w:val="20"/>
                <w:highlight w:val="none"/>
                <w:u w:val="none"/>
                <w:lang w:val="en-US" w:eastAsia="zh-CN" w:bidi="ar"/>
              </w:rPr>
              <w:t>一般</w:t>
            </w:r>
            <w:r>
              <w:rPr>
                <w:rFonts w:hint="eastAsia" w:ascii="宋体" w:hAnsi="宋体" w:eastAsia="宋体" w:cs="宋体"/>
                <w:i w:val="0"/>
                <w:iCs w:val="0"/>
                <w:color w:val="000000"/>
                <w:kern w:val="0"/>
                <w:sz w:val="20"/>
                <w:szCs w:val="20"/>
                <w:highlight w:val="none"/>
                <w:u w:val="none"/>
                <w:lang w:val="en-US" w:eastAsia="zh-CN" w:bidi="ar"/>
              </w:rPr>
              <w:t>的得</w:t>
            </w:r>
            <w:r>
              <w:rPr>
                <w:rFonts w:hint="eastAsia" w:ascii="宋体" w:hAnsi="宋体" w:cs="宋体"/>
                <w:i w:val="0"/>
                <w:iCs w:val="0"/>
                <w:color w:val="000000"/>
                <w:kern w:val="0"/>
                <w:sz w:val="20"/>
                <w:szCs w:val="20"/>
                <w:highlight w:val="none"/>
                <w:u w:val="none"/>
                <w:lang w:val="en-US" w:eastAsia="zh-CN" w:bidi="ar"/>
              </w:rPr>
              <w:t>1</w:t>
            </w:r>
            <w:r>
              <w:rPr>
                <w:rFonts w:hint="eastAsia" w:ascii="宋体" w:hAnsi="宋体" w:eastAsia="宋体" w:cs="宋体"/>
                <w:i w:val="0"/>
                <w:iCs w:val="0"/>
                <w:color w:val="000000"/>
                <w:kern w:val="0"/>
                <w:sz w:val="20"/>
                <w:szCs w:val="20"/>
                <w:highlight w:val="none"/>
                <w:u w:val="none"/>
                <w:lang w:val="en-US" w:eastAsia="zh-CN" w:bidi="ar"/>
              </w:rPr>
              <w:t>分</w:t>
            </w:r>
            <w:r>
              <w:rPr>
                <w:rFonts w:hint="eastAsia" w:ascii="宋体" w:hAnsi="宋体" w:cs="宋体"/>
                <w:i w:val="0"/>
                <w:iCs w:val="0"/>
                <w:color w:val="000000"/>
                <w:kern w:val="0"/>
                <w:sz w:val="20"/>
                <w:szCs w:val="20"/>
                <w:highlight w:val="none"/>
                <w:u w:val="none"/>
                <w:lang w:val="en-US" w:eastAsia="zh-CN" w:bidi="ar"/>
              </w:rPr>
              <w:t>。</w:t>
            </w:r>
          </w:p>
          <w:p w14:paraId="445FF200">
            <w:pPr>
              <w:pStyle w:val="2"/>
              <w:rPr>
                <w:rFonts w:hint="default"/>
                <w:lang w:val="en-US" w:eastAsia="zh-CN"/>
              </w:rPr>
            </w:pPr>
            <w:r>
              <w:rPr>
                <w:rFonts w:hint="eastAsia" w:ascii="宋体" w:hAnsi="宋体" w:cs="宋体"/>
                <w:i w:val="0"/>
                <w:iCs w:val="0"/>
                <w:color w:val="000000"/>
                <w:kern w:val="0"/>
                <w:sz w:val="20"/>
                <w:szCs w:val="20"/>
                <w:highlight w:val="none"/>
                <w:u w:val="none"/>
                <w:lang w:val="en-US" w:eastAsia="zh-CN" w:bidi="ar"/>
              </w:rPr>
              <w:t>4.未提供，不得分。</w:t>
            </w:r>
          </w:p>
        </w:tc>
      </w:tr>
      <w:tr w14:paraId="59F4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53A2B6BF">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490" w:type="pct"/>
            <w:vMerge w:val="continue"/>
            <w:noWrap w:val="0"/>
            <w:vAlign w:val="center"/>
          </w:tcPr>
          <w:p w14:paraId="3E844505">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576" w:type="pct"/>
            <w:vMerge w:val="continue"/>
            <w:noWrap w:val="0"/>
            <w:vAlign w:val="center"/>
          </w:tcPr>
          <w:p w14:paraId="00A98D4B">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853" w:type="pct"/>
            <w:noWrap w:val="0"/>
            <w:vAlign w:val="center"/>
          </w:tcPr>
          <w:p w14:paraId="6654FA66">
            <w:pPr>
              <w:pStyle w:val="32"/>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Style w:val="31"/>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工程进度计划与措施（</w:t>
            </w:r>
            <w:r>
              <w:rPr>
                <w:rFonts w:hint="eastAsia" w:hAnsi="宋体" w:cs="宋体"/>
                <w:color w:val="000000"/>
                <w:sz w:val="20"/>
                <w:szCs w:val="20"/>
                <w:lang w:val="en-US" w:eastAsia="zh-CN"/>
              </w:rPr>
              <w:t>6</w:t>
            </w:r>
            <w:r>
              <w:rPr>
                <w:rFonts w:hint="eastAsia" w:ascii="宋体" w:hAnsi="宋体" w:eastAsia="宋体" w:cs="宋体"/>
                <w:color w:val="000000"/>
                <w:sz w:val="20"/>
                <w:szCs w:val="20"/>
              </w:rPr>
              <w:t>分）</w:t>
            </w:r>
          </w:p>
        </w:tc>
        <w:tc>
          <w:tcPr>
            <w:tcW w:w="2467" w:type="pct"/>
            <w:noWrap w:val="0"/>
            <w:vAlign w:val="center"/>
          </w:tcPr>
          <w:p w14:paraId="3FACCCB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20"/>
                <w:szCs w:val="20"/>
              </w:rPr>
            </w:pPr>
            <w:r>
              <w:rPr>
                <w:rFonts w:hint="eastAsia" w:ascii="宋体" w:hAnsi="宋体" w:cs="宋体"/>
                <w:color w:val="000000"/>
                <w:sz w:val="20"/>
                <w:szCs w:val="20"/>
                <w:lang w:val="en-US" w:eastAsia="zh-CN"/>
              </w:rPr>
              <w:t>投标人针对项目提供</w:t>
            </w:r>
            <w:r>
              <w:rPr>
                <w:rFonts w:hint="eastAsia" w:ascii="宋体" w:hAnsi="宋体" w:eastAsia="宋体" w:cs="宋体"/>
                <w:color w:val="000000"/>
                <w:sz w:val="20"/>
                <w:szCs w:val="20"/>
              </w:rPr>
              <w:t>工程进度计划与措施方案</w:t>
            </w:r>
            <w:r>
              <w:rPr>
                <w:rFonts w:hint="eastAsia" w:ascii="宋体" w:hAnsi="宋体" w:cs="宋体"/>
                <w:color w:val="000000"/>
                <w:sz w:val="20"/>
                <w:szCs w:val="20"/>
                <w:lang w:eastAsia="zh-CN"/>
              </w:rPr>
              <w:t>。</w:t>
            </w:r>
            <w:r>
              <w:rPr>
                <w:rFonts w:hint="eastAsia" w:ascii="宋体" w:hAnsi="宋体" w:cs="宋体"/>
                <w:color w:val="000000"/>
                <w:sz w:val="20"/>
                <w:szCs w:val="20"/>
                <w:lang w:val="en-US" w:eastAsia="zh-CN"/>
              </w:rPr>
              <w:t>提供方案者</w:t>
            </w:r>
            <w:r>
              <w:rPr>
                <w:rFonts w:hint="eastAsia" w:ascii="宋体" w:hAnsi="宋体" w:eastAsia="宋体" w:cs="宋体"/>
                <w:color w:val="000000"/>
                <w:sz w:val="20"/>
                <w:szCs w:val="20"/>
              </w:rPr>
              <w:t>即得基础分</w:t>
            </w:r>
            <w:r>
              <w:rPr>
                <w:rFonts w:hint="eastAsia" w:ascii="宋体" w:hAnsi="宋体" w:cs="宋体"/>
                <w:color w:val="000000"/>
                <w:sz w:val="20"/>
                <w:szCs w:val="20"/>
                <w:lang w:val="en-US" w:eastAsia="zh-CN"/>
              </w:rPr>
              <w:t>3</w:t>
            </w:r>
            <w:r>
              <w:rPr>
                <w:rFonts w:hint="eastAsia" w:ascii="宋体" w:hAnsi="宋体" w:eastAsia="宋体" w:cs="宋体"/>
                <w:color w:val="000000"/>
                <w:sz w:val="20"/>
                <w:szCs w:val="20"/>
              </w:rPr>
              <w:t>分，在此基础上：</w:t>
            </w:r>
          </w:p>
          <w:p w14:paraId="4728FF1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20"/>
                <w:szCs w:val="20"/>
              </w:rPr>
            </w:pPr>
            <w:r>
              <w:rPr>
                <w:rFonts w:hint="eastAsia" w:ascii="宋体" w:hAnsi="宋体" w:cs="宋体"/>
                <w:color w:val="000000"/>
                <w:sz w:val="20"/>
                <w:szCs w:val="20"/>
                <w:lang w:val="en-US" w:eastAsia="zh-CN"/>
              </w:rPr>
              <w:t>1.</w:t>
            </w:r>
            <w:r>
              <w:rPr>
                <w:rFonts w:hint="eastAsia" w:ascii="宋体" w:hAnsi="宋体" w:eastAsia="宋体" w:cs="宋体"/>
                <w:color w:val="000000"/>
                <w:sz w:val="20"/>
                <w:szCs w:val="20"/>
              </w:rPr>
              <w:t>工程进度计划与措施合理、可靠、有效，</w:t>
            </w:r>
            <w:r>
              <w:rPr>
                <w:rFonts w:hint="eastAsia" w:ascii="宋体" w:hAnsi="宋体" w:eastAsia="宋体" w:cs="宋体"/>
                <w:color w:val="000000"/>
                <w:sz w:val="20"/>
                <w:szCs w:val="20"/>
                <w:lang w:val="en-US" w:eastAsia="zh-CN"/>
              </w:rPr>
              <w:t>得</w:t>
            </w:r>
            <w:r>
              <w:rPr>
                <w:rFonts w:hint="eastAsia" w:ascii="宋体" w:hAnsi="宋体" w:cs="宋体"/>
                <w:color w:val="000000"/>
                <w:sz w:val="20"/>
                <w:szCs w:val="20"/>
                <w:lang w:val="en-US" w:eastAsia="zh-CN"/>
              </w:rPr>
              <w:t>3</w:t>
            </w:r>
            <w:r>
              <w:rPr>
                <w:rFonts w:hint="eastAsia" w:ascii="宋体" w:hAnsi="宋体" w:eastAsia="宋体" w:cs="宋体"/>
                <w:color w:val="000000"/>
                <w:sz w:val="20"/>
                <w:szCs w:val="20"/>
                <w:lang w:val="en-US" w:eastAsia="zh-CN"/>
              </w:rPr>
              <w:t>分</w:t>
            </w:r>
            <w:r>
              <w:rPr>
                <w:rFonts w:hint="eastAsia" w:ascii="宋体" w:hAnsi="宋体" w:eastAsia="宋体" w:cs="宋体"/>
                <w:color w:val="000000"/>
                <w:sz w:val="20"/>
                <w:szCs w:val="20"/>
              </w:rPr>
              <w:t>。</w:t>
            </w:r>
          </w:p>
          <w:p w14:paraId="1F9B84B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工程进度计划与控制工期的保证措施较合理、较可靠、较有效的</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得</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分</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工程进度计划与控制，工期的保证措施</w:t>
            </w:r>
            <w:r>
              <w:rPr>
                <w:rFonts w:hint="eastAsia" w:ascii="宋体" w:hAnsi="宋体" w:cs="宋体"/>
                <w:i w:val="0"/>
                <w:iCs w:val="0"/>
                <w:color w:val="000000"/>
                <w:kern w:val="0"/>
                <w:sz w:val="20"/>
                <w:szCs w:val="20"/>
                <w:u w:val="none"/>
                <w:lang w:val="en-US" w:eastAsia="zh-CN" w:bidi="ar"/>
              </w:rPr>
              <w:t>一般</w:t>
            </w:r>
            <w:r>
              <w:rPr>
                <w:rFonts w:hint="eastAsia" w:ascii="宋体" w:hAnsi="宋体" w:eastAsia="宋体" w:cs="宋体"/>
                <w:i w:val="0"/>
                <w:iCs w:val="0"/>
                <w:color w:val="000000"/>
                <w:kern w:val="0"/>
                <w:sz w:val="20"/>
                <w:szCs w:val="20"/>
                <w:u w:val="none"/>
                <w:lang w:val="en-US" w:eastAsia="zh-CN" w:bidi="ar"/>
              </w:rPr>
              <w:t>、可靠性有效性</w:t>
            </w:r>
            <w:r>
              <w:rPr>
                <w:rFonts w:hint="eastAsia" w:ascii="宋体" w:hAnsi="宋体" w:cs="宋体"/>
                <w:i w:val="0"/>
                <w:iCs w:val="0"/>
                <w:color w:val="000000"/>
                <w:kern w:val="0"/>
                <w:sz w:val="20"/>
                <w:szCs w:val="20"/>
                <w:u w:val="none"/>
                <w:lang w:val="en-US" w:eastAsia="zh-CN" w:bidi="ar"/>
              </w:rPr>
              <w:t>一般</w:t>
            </w:r>
            <w:r>
              <w:rPr>
                <w:rFonts w:hint="eastAsia" w:ascii="宋体" w:hAnsi="宋体" w:eastAsia="宋体" w:cs="宋体"/>
                <w:i w:val="0"/>
                <w:iCs w:val="0"/>
                <w:color w:val="000000"/>
                <w:kern w:val="0"/>
                <w:sz w:val="20"/>
                <w:szCs w:val="20"/>
                <w:u w:val="none"/>
                <w:lang w:val="en-US" w:eastAsia="zh-CN" w:bidi="ar"/>
              </w:rPr>
              <w:t>的</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得</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分。</w:t>
            </w:r>
          </w:p>
          <w:p w14:paraId="17199DEF">
            <w:pPr>
              <w:pStyle w:val="2"/>
              <w:rPr>
                <w:rFonts w:hint="default"/>
                <w:lang w:val="en-US" w:eastAsia="zh-CN"/>
              </w:rPr>
            </w:pPr>
            <w:r>
              <w:rPr>
                <w:rFonts w:hint="eastAsia" w:ascii="宋体" w:hAnsi="宋体" w:cs="宋体"/>
                <w:i w:val="0"/>
                <w:iCs w:val="0"/>
                <w:color w:val="000000"/>
                <w:kern w:val="0"/>
                <w:sz w:val="20"/>
                <w:szCs w:val="20"/>
                <w:u w:val="none"/>
                <w:lang w:val="en-US" w:eastAsia="zh-CN" w:bidi="ar"/>
              </w:rPr>
              <w:t>4.未提供，不得分。</w:t>
            </w:r>
          </w:p>
        </w:tc>
      </w:tr>
      <w:tr w14:paraId="6057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020A943A">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lang w:val="en-US" w:eastAsia="zh-CN"/>
              </w:rPr>
            </w:pPr>
          </w:p>
        </w:tc>
        <w:tc>
          <w:tcPr>
            <w:tcW w:w="490" w:type="pct"/>
            <w:vMerge w:val="continue"/>
            <w:noWrap w:val="0"/>
            <w:vAlign w:val="center"/>
          </w:tcPr>
          <w:p w14:paraId="7B7C3484">
            <w:pPr>
              <w:keepNext w:val="0"/>
              <w:keepLines w:val="0"/>
              <w:pageBreakBefore w:val="0"/>
              <w:kinsoku/>
              <w:wordWrap/>
              <w:topLinePunct w:val="0"/>
              <w:bidi w:val="0"/>
              <w:spacing w:line="240" w:lineRule="auto"/>
              <w:jc w:val="center"/>
              <w:rPr>
                <w:rFonts w:hint="eastAsia" w:ascii="宋体" w:hAnsi="宋体" w:eastAsia="宋体" w:cs="宋体"/>
                <w:kern w:val="0"/>
                <w:sz w:val="24"/>
                <w:szCs w:val="24"/>
              </w:rPr>
            </w:pPr>
          </w:p>
        </w:tc>
        <w:tc>
          <w:tcPr>
            <w:tcW w:w="576" w:type="pct"/>
            <w:vMerge w:val="continue"/>
            <w:noWrap w:val="0"/>
            <w:vAlign w:val="center"/>
          </w:tcPr>
          <w:p w14:paraId="0B97A72F">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rPr>
            </w:pPr>
          </w:p>
        </w:tc>
        <w:tc>
          <w:tcPr>
            <w:tcW w:w="853" w:type="pct"/>
            <w:noWrap w:val="0"/>
            <w:vAlign w:val="center"/>
          </w:tcPr>
          <w:p w14:paraId="1ABA783F">
            <w:pPr>
              <w:autoSpaceDE w:val="0"/>
              <w:autoSpaceDN w:val="0"/>
              <w:adjustRightInd w:val="0"/>
              <w:spacing w:line="360" w:lineRule="auto"/>
              <w:jc w:val="left"/>
              <w:rPr>
                <w:rFonts w:hint="eastAsia" w:ascii="宋体" w:hAnsi="宋体" w:cs="宋体"/>
                <w:kern w:val="0"/>
                <w:sz w:val="20"/>
                <w:szCs w:val="20"/>
              </w:rPr>
            </w:pPr>
            <w:r>
              <w:rPr>
                <w:rFonts w:hint="eastAsia" w:ascii="宋体" w:hAnsi="宋体" w:cs="宋体"/>
                <w:kern w:val="0"/>
                <w:sz w:val="20"/>
                <w:szCs w:val="20"/>
              </w:rPr>
              <w:t>关键施工技术重点、难点和解决方案</w:t>
            </w:r>
          </w:p>
          <w:p w14:paraId="3D427072">
            <w:pPr>
              <w:autoSpaceDE w:val="0"/>
              <w:autoSpaceDN w:val="0"/>
              <w:adjustRightInd w:val="0"/>
              <w:spacing w:line="360" w:lineRule="auto"/>
              <w:jc w:val="left"/>
              <w:rPr>
                <w:rFonts w:hint="eastAsia" w:ascii="宋体" w:hAnsi="宋体" w:cs="宋体"/>
                <w:kern w:val="0"/>
                <w:sz w:val="20"/>
                <w:szCs w:val="20"/>
              </w:rPr>
            </w:pPr>
            <w:r>
              <w:rPr>
                <w:rFonts w:hint="eastAsia" w:ascii="宋体" w:hAnsi="宋体" w:cs="宋体"/>
                <w:kern w:val="0"/>
                <w:sz w:val="20"/>
                <w:szCs w:val="20"/>
              </w:rPr>
              <w:t>（</w:t>
            </w:r>
            <w:r>
              <w:rPr>
                <w:rFonts w:hint="eastAsia" w:ascii="宋体" w:hAnsi="宋体" w:cs="宋体"/>
                <w:kern w:val="0"/>
                <w:sz w:val="20"/>
                <w:szCs w:val="20"/>
                <w:lang w:val="en-US" w:eastAsia="zh-CN"/>
              </w:rPr>
              <w:t>10</w:t>
            </w:r>
            <w:r>
              <w:rPr>
                <w:rFonts w:hint="eastAsia" w:ascii="宋体" w:hAnsi="宋体" w:cs="宋体"/>
                <w:kern w:val="0"/>
                <w:sz w:val="20"/>
                <w:szCs w:val="20"/>
              </w:rPr>
              <w:t>分）</w:t>
            </w:r>
          </w:p>
        </w:tc>
        <w:tc>
          <w:tcPr>
            <w:tcW w:w="2467" w:type="pct"/>
            <w:noWrap w:val="0"/>
            <w:vAlign w:val="center"/>
          </w:tcPr>
          <w:p w14:paraId="01787BCD">
            <w:pPr>
              <w:keepNext w:val="0"/>
              <w:keepLines w:val="0"/>
              <w:widowControl/>
              <w:suppressLineNumbers w:val="0"/>
              <w:jc w:val="left"/>
              <w:rPr>
                <w:highlight w:val="none"/>
              </w:rPr>
            </w:pPr>
            <w:r>
              <w:rPr>
                <w:rFonts w:hint="eastAsia" w:ascii="宋体" w:hAnsi="宋体" w:cs="宋体"/>
                <w:color w:val="000000"/>
                <w:sz w:val="20"/>
                <w:szCs w:val="20"/>
                <w:highlight w:val="none"/>
                <w:lang w:val="en-US" w:eastAsia="zh-CN"/>
              </w:rPr>
              <w:t>投标人针对项目提供</w:t>
            </w:r>
            <w:r>
              <w:rPr>
                <w:rFonts w:hint="eastAsia" w:ascii="宋体" w:hAnsi="宋体" w:cs="宋体"/>
                <w:kern w:val="0"/>
                <w:sz w:val="20"/>
                <w:szCs w:val="20"/>
                <w:highlight w:val="none"/>
              </w:rPr>
              <w:t>关键施工技术重点、难点</w:t>
            </w:r>
            <w:r>
              <w:rPr>
                <w:rFonts w:hint="eastAsia" w:ascii="宋体" w:hAnsi="宋体" w:cs="宋体"/>
                <w:kern w:val="0"/>
                <w:sz w:val="20"/>
                <w:szCs w:val="20"/>
                <w:highlight w:val="none"/>
                <w:lang w:eastAsia="zh-CN"/>
              </w:rPr>
              <w:t>、</w:t>
            </w:r>
            <w:r>
              <w:rPr>
                <w:rFonts w:hint="default" w:ascii="SourceHanSerifCNVF-Medium" w:hAnsi="SourceHanSerifCNVF-Medium" w:eastAsia="SourceHanSerifCNVF-Medium" w:cs="SourceHanSerifCNVF-Medium"/>
                <w:color w:val="000000"/>
                <w:kern w:val="0"/>
                <w:sz w:val="19"/>
                <w:szCs w:val="19"/>
                <w:highlight w:val="none"/>
                <w:lang w:val="en-US" w:eastAsia="zh-CN" w:bidi="ar"/>
              </w:rPr>
              <w:t>质量通病</w:t>
            </w:r>
            <w:r>
              <w:rPr>
                <w:rFonts w:hint="eastAsia" w:ascii="宋体" w:hAnsi="宋体" w:cs="宋体"/>
                <w:kern w:val="0"/>
                <w:sz w:val="20"/>
                <w:szCs w:val="20"/>
                <w:highlight w:val="none"/>
              </w:rPr>
              <w:t>和解决</w:t>
            </w:r>
            <w:r>
              <w:rPr>
                <w:rFonts w:hint="eastAsia" w:ascii="宋体" w:hAnsi="宋体" w:cs="宋体"/>
                <w:color w:val="000000"/>
                <w:sz w:val="20"/>
                <w:szCs w:val="20"/>
                <w:highlight w:val="none"/>
                <w:lang w:val="en-US" w:eastAsia="zh-CN"/>
              </w:rPr>
              <w:t>方案。提供方案即得基础分5分，在此基础上：</w:t>
            </w:r>
          </w:p>
          <w:p w14:paraId="7835FF21">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宋体" w:hAnsi="宋体" w:cs="宋体"/>
                <w:color w:val="000000"/>
                <w:sz w:val="20"/>
                <w:szCs w:val="20"/>
                <w:highlight w:val="none"/>
                <w:lang w:val="en-US" w:eastAsia="zh-CN"/>
              </w:rPr>
            </w:pPr>
          </w:p>
          <w:p w14:paraId="76903389">
            <w:pPr>
              <w:autoSpaceDE w:val="0"/>
              <w:autoSpaceDN w:val="0"/>
              <w:adjustRightInd w:val="0"/>
              <w:spacing w:line="360" w:lineRule="auto"/>
              <w:jc w:val="left"/>
              <w:rPr>
                <w:rFonts w:hint="eastAsia" w:ascii="宋体" w:hAnsi="宋体" w:cs="宋体"/>
                <w:kern w:val="0"/>
                <w:sz w:val="20"/>
                <w:szCs w:val="20"/>
                <w:highlight w:val="none"/>
              </w:rPr>
            </w:pPr>
            <w:r>
              <w:rPr>
                <w:rFonts w:hint="eastAsia" w:ascii="宋体" w:hAnsi="宋体" w:cs="宋体"/>
                <w:kern w:val="0"/>
                <w:sz w:val="20"/>
                <w:szCs w:val="20"/>
                <w:highlight w:val="none"/>
                <w:lang w:val="en-US" w:eastAsia="zh-CN"/>
              </w:rPr>
              <w:t>1.</w:t>
            </w:r>
            <w:r>
              <w:rPr>
                <w:rFonts w:hint="eastAsia" w:ascii="宋体" w:hAnsi="宋体" w:cs="宋体"/>
                <w:kern w:val="0"/>
                <w:sz w:val="20"/>
                <w:szCs w:val="20"/>
                <w:highlight w:val="none"/>
              </w:rPr>
              <w:t>关键施工技术、工艺及工程项目实施的重点、难点</w:t>
            </w:r>
            <w:r>
              <w:rPr>
                <w:rFonts w:hint="eastAsia" w:ascii="宋体" w:hAnsi="宋体" w:cs="宋体"/>
                <w:kern w:val="0"/>
                <w:sz w:val="20"/>
                <w:szCs w:val="20"/>
                <w:highlight w:val="none"/>
                <w:lang w:eastAsia="zh-CN"/>
              </w:rPr>
              <w:t>提供有效</w:t>
            </w:r>
            <w:r>
              <w:rPr>
                <w:rFonts w:hint="eastAsia" w:ascii="宋体" w:hAnsi="宋体" w:cs="宋体"/>
                <w:kern w:val="0"/>
                <w:sz w:val="20"/>
                <w:szCs w:val="20"/>
                <w:highlight w:val="none"/>
              </w:rPr>
              <w:t>解决方案</w:t>
            </w:r>
            <w:r>
              <w:rPr>
                <w:rFonts w:hint="eastAsia" w:ascii="宋体" w:hAnsi="宋体" w:cs="宋体"/>
                <w:kern w:val="0"/>
                <w:sz w:val="20"/>
                <w:szCs w:val="20"/>
                <w:highlight w:val="none"/>
                <w:lang w:eastAsia="zh-CN"/>
              </w:rPr>
              <w:t>，</w:t>
            </w:r>
            <w:r>
              <w:rPr>
                <w:rFonts w:hint="eastAsia" w:ascii="宋体" w:hAnsi="宋体" w:cs="宋体"/>
                <w:kern w:val="0"/>
                <w:sz w:val="20"/>
                <w:szCs w:val="20"/>
                <w:highlight w:val="none"/>
                <w:lang w:val="en-US" w:eastAsia="zh-CN"/>
              </w:rPr>
              <w:t>得5分</w:t>
            </w:r>
            <w:r>
              <w:rPr>
                <w:rFonts w:hint="eastAsia" w:ascii="宋体" w:hAnsi="宋体" w:cs="宋体"/>
                <w:kern w:val="0"/>
                <w:sz w:val="20"/>
                <w:szCs w:val="20"/>
                <w:highlight w:val="none"/>
              </w:rPr>
              <w:t>。</w:t>
            </w:r>
          </w:p>
          <w:p w14:paraId="4F49688F">
            <w:pPr>
              <w:autoSpaceDE w:val="0"/>
              <w:autoSpaceDN w:val="0"/>
              <w:adjustRightInd w:val="0"/>
              <w:spacing w:line="360" w:lineRule="auto"/>
              <w:jc w:val="left"/>
              <w:rPr>
                <w:rFonts w:hint="eastAsia" w:ascii="宋体" w:hAnsi="宋体" w:cs="宋体"/>
                <w:kern w:val="0"/>
                <w:sz w:val="20"/>
                <w:szCs w:val="20"/>
                <w:highlight w:val="none"/>
              </w:rPr>
            </w:pPr>
            <w:r>
              <w:rPr>
                <w:rFonts w:hint="eastAsia" w:ascii="宋体" w:hAnsi="宋体" w:cs="宋体"/>
                <w:kern w:val="0"/>
                <w:sz w:val="20"/>
                <w:szCs w:val="20"/>
                <w:highlight w:val="none"/>
                <w:lang w:val="en-US" w:eastAsia="zh-CN"/>
              </w:rPr>
              <w:t>2.</w:t>
            </w:r>
            <w:r>
              <w:rPr>
                <w:rFonts w:hint="eastAsia" w:ascii="宋体" w:hAnsi="宋体" w:cs="宋体"/>
                <w:kern w:val="0"/>
                <w:sz w:val="20"/>
                <w:szCs w:val="20"/>
                <w:highlight w:val="none"/>
              </w:rPr>
              <w:t>关键施工技术、工艺及工程项目实施的重点、难点</w:t>
            </w:r>
            <w:r>
              <w:rPr>
                <w:rFonts w:hint="eastAsia" w:ascii="宋体" w:hAnsi="宋体" w:cs="宋体"/>
                <w:kern w:val="0"/>
                <w:sz w:val="20"/>
                <w:szCs w:val="20"/>
                <w:highlight w:val="none"/>
                <w:lang w:eastAsia="zh-CN"/>
              </w:rPr>
              <w:t>提供较有效</w:t>
            </w:r>
            <w:r>
              <w:rPr>
                <w:rFonts w:hint="eastAsia" w:ascii="宋体" w:hAnsi="宋体" w:cs="宋体"/>
                <w:kern w:val="0"/>
                <w:sz w:val="20"/>
                <w:szCs w:val="20"/>
                <w:highlight w:val="none"/>
              </w:rPr>
              <w:t>解决方案</w:t>
            </w:r>
            <w:r>
              <w:rPr>
                <w:rFonts w:hint="eastAsia" w:ascii="宋体" w:hAnsi="宋体" w:cs="宋体"/>
                <w:kern w:val="0"/>
                <w:sz w:val="20"/>
                <w:szCs w:val="20"/>
                <w:highlight w:val="none"/>
                <w:lang w:eastAsia="zh-CN"/>
              </w:rPr>
              <w:t>，</w:t>
            </w:r>
            <w:r>
              <w:rPr>
                <w:rFonts w:hint="eastAsia" w:ascii="宋体" w:hAnsi="宋体" w:cs="宋体"/>
                <w:kern w:val="0"/>
                <w:sz w:val="20"/>
                <w:szCs w:val="20"/>
                <w:highlight w:val="none"/>
                <w:lang w:val="en-US" w:eastAsia="zh-CN"/>
              </w:rPr>
              <w:t>得3分</w:t>
            </w:r>
            <w:r>
              <w:rPr>
                <w:rFonts w:hint="eastAsia" w:ascii="宋体" w:hAnsi="宋体" w:cs="宋体"/>
                <w:kern w:val="0"/>
                <w:sz w:val="20"/>
                <w:szCs w:val="20"/>
                <w:highlight w:val="none"/>
              </w:rPr>
              <w:t>。</w:t>
            </w:r>
          </w:p>
          <w:p w14:paraId="74695541">
            <w:pPr>
              <w:autoSpaceDE w:val="0"/>
              <w:autoSpaceDN w:val="0"/>
              <w:adjustRightInd w:val="0"/>
              <w:spacing w:line="360" w:lineRule="auto"/>
              <w:jc w:val="left"/>
              <w:rPr>
                <w:rFonts w:hint="eastAsia" w:ascii="宋体" w:hAnsi="宋体" w:cs="宋体"/>
                <w:kern w:val="0"/>
                <w:sz w:val="20"/>
                <w:szCs w:val="20"/>
                <w:highlight w:val="none"/>
              </w:rPr>
            </w:pPr>
            <w:r>
              <w:rPr>
                <w:rFonts w:hint="eastAsia" w:ascii="宋体" w:hAnsi="宋体" w:cs="宋体"/>
                <w:kern w:val="0"/>
                <w:sz w:val="20"/>
                <w:szCs w:val="20"/>
                <w:highlight w:val="none"/>
                <w:lang w:val="en-US" w:eastAsia="zh-CN"/>
              </w:rPr>
              <w:t>3.</w:t>
            </w:r>
            <w:r>
              <w:rPr>
                <w:rFonts w:hint="eastAsia" w:ascii="宋体" w:hAnsi="宋体" w:cs="宋体"/>
                <w:kern w:val="0"/>
                <w:sz w:val="20"/>
                <w:szCs w:val="20"/>
                <w:highlight w:val="none"/>
              </w:rPr>
              <w:t>关键施工技术、工艺及工程项目实施的重点、难点</w:t>
            </w:r>
            <w:r>
              <w:rPr>
                <w:rFonts w:hint="eastAsia" w:ascii="宋体" w:hAnsi="宋体" w:cs="宋体"/>
                <w:kern w:val="0"/>
                <w:sz w:val="20"/>
                <w:szCs w:val="20"/>
                <w:highlight w:val="none"/>
                <w:lang w:eastAsia="zh-CN"/>
              </w:rPr>
              <w:t>提供较一般的</w:t>
            </w:r>
            <w:r>
              <w:rPr>
                <w:rFonts w:hint="eastAsia" w:ascii="宋体" w:hAnsi="宋体" w:cs="宋体"/>
                <w:kern w:val="0"/>
                <w:sz w:val="20"/>
                <w:szCs w:val="20"/>
                <w:highlight w:val="none"/>
              </w:rPr>
              <w:t>解决方案</w:t>
            </w:r>
            <w:r>
              <w:rPr>
                <w:rFonts w:hint="eastAsia" w:ascii="宋体" w:hAnsi="宋体" w:cs="宋体"/>
                <w:kern w:val="0"/>
                <w:sz w:val="20"/>
                <w:szCs w:val="20"/>
                <w:highlight w:val="none"/>
                <w:lang w:eastAsia="zh-CN"/>
              </w:rPr>
              <w:t>，</w:t>
            </w:r>
            <w:r>
              <w:rPr>
                <w:rFonts w:hint="eastAsia" w:ascii="宋体" w:hAnsi="宋体" w:cs="宋体"/>
                <w:kern w:val="0"/>
                <w:sz w:val="20"/>
                <w:szCs w:val="20"/>
                <w:highlight w:val="none"/>
                <w:lang w:val="en-US" w:eastAsia="zh-CN"/>
              </w:rPr>
              <w:t>得1分</w:t>
            </w:r>
            <w:r>
              <w:rPr>
                <w:rFonts w:hint="eastAsia" w:ascii="宋体" w:hAnsi="宋体" w:cs="宋体"/>
                <w:kern w:val="0"/>
                <w:sz w:val="20"/>
                <w:szCs w:val="20"/>
                <w:highlight w:val="none"/>
              </w:rPr>
              <w:t>。</w:t>
            </w:r>
          </w:p>
          <w:p w14:paraId="2378A6F3">
            <w:pPr>
              <w:pStyle w:val="2"/>
              <w:rPr>
                <w:rFonts w:hint="default" w:eastAsia="宋体"/>
                <w:lang w:val="en-US" w:eastAsia="zh-CN"/>
              </w:rPr>
            </w:pPr>
            <w:r>
              <w:rPr>
                <w:rFonts w:hint="eastAsia" w:ascii="宋体" w:hAnsi="宋体" w:cs="宋体"/>
                <w:kern w:val="0"/>
                <w:sz w:val="20"/>
                <w:szCs w:val="20"/>
                <w:highlight w:val="none"/>
                <w:lang w:val="en-US" w:eastAsia="zh-CN"/>
              </w:rPr>
              <w:t>4.未提供不得分。</w:t>
            </w:r>
          </w:p>
        </w:tc>
      </w:tr>
      <w:tr w14:paraId="40D8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611" w:type="pct"/>
            <w:vMerge w:val="continue"/>
            <w:noWrap w:val="0"/>
            <w:vAlign w:val="center"/>
          </w:tcPr>
          <w:p w14:paraId="672747DF">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lang w:val="en-US" w:eastAsia="zh-CN"/>
              </w:rPr>
            </w:pPr>
          </w:p>
        </w:tc>
        <w:tc>
          <w:tcPr>
            <w:tcW w:w="490" w:type="pct"/>
            <w:vMerge w:val="continue"/>
            <w:noWrap w:val="0"/>
            <w:vAlign w:val="center"/>
          </w:tcPr>
          <w:p w14:paraId="368D6614">
            <w:pPr>
              <w:keepNext w:val="0"/>
              <w:keepLines w:val="0"/>
              <w:pageBreakBefore w:val="0"/>
              <w:kinsoku/>
              <w:wordWrap/>
              <w:topLinePunct w:val="0"/>
              <w:bidi w:val="0"/>
              <w:spacing w:line="240" w:lineRule="auto"/>
              <w:jc w:val="center"/>
              <w:rPr>
                <w:rFonts w:hint="eastAsia" w:ascii="宋体" w:hAnsi="宋体" w:eastAsia="宋体" w:cs="宋体"/>
                <w:kern w:val="0"/>
                <w:sz w:val="24"/>
                <w:szCs w:val="24"/>
              </w:rPr>
            </w:pPr>
          </w:p>
        </w:tc>
        <w:tc>
          <w:tcPr>
            <w:tcW w:w="576" w:type="pct"/>
            <w:vMerge w:val="continue"/>
            <w:noWrap w:val="0"/>
            <w:vAlign w:val="center"/>
          </w:tcPr>
          <w:p w14:paraId="05867821">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rPr>
            </w:pPr>
          </w:p>
        </w:tc>
        <w:tc>
          <w:tcPr>
            <w:tcW w:w="853" w:type="pct"/>
            <w:noWrap w:val="0"/>
            <w:vAlign w:val="center"/>
          </w:tcPr>
          <w:p w14:paraId="7A25488C">
            <w:pPr>
              <w:autoSpaceDE w:val="0"/>
              <w:autoSpaceDN w:val="0"/>
              <w:adjustRightInd w:val="0"/>
              <w:spacing w:line="360" w:lineRule="auto"/>
              <w:jc w:val="left"/>
              <w:rPr>
                <w:rFonts w:hint="eastAsia" w:ascii="宋体" w:hAnsi="宋体" w:cs="宋体"/>
                <w:kern w:val="0"/>
                <w:sz w:val="20"/>
                <w:szCs w:val="20"/>
                <w:lang w:val="en-US" w:eastAsia="zh-CN"/>
              </w:rPr>
            </w:pPr>
            <w:r>
              <w:rPr>
                <w:rFonts w:hint="eastAsia" w:ascii="宋体" w:hAnsi="宋体" w:cs="宋体"/>
                <w:kern w:val="0"/>
                <w:sz w:val="20"/>
                <w:szCs w:val="20"/>
              </w:rPr>
              <w:t>应急预案以及应对措施（</w:t>
            </w:r>
            <w:r>
              <w:rPr>
                <w:rFonts w:hint="eastAsia" w:ascii="宋体" w:hAnsi="宋体" w:cs="宋体"/>
                <w:kern w:val="0"/>
                <w:sz w:val="20"/>
                <w:szCs w:val="20"/>
                <w:lang w:val="en-US" w:eastAsia="zh-CN"/>
              </w:rPr>
              <w:t>6</w:t>
            </w:r>
            <w:r>
              <w:rPr>
                <w:rFonts w:hint="eastAsia" w:ascii="宋体" w:hAnsi="宋体" w:cs="宋体"/>
                <w:kern w:val="0"/>
                <w:sz w:val="20"/>
                <w:szCs w:val="20"/>
              </w:rPr>
              <w:t>分）</w:t>
            </w:r>
          </w:p>
        </w:tc>
        <w:tc>
          <w:tcPr>
            <w:tcW w:w="2467" w:type="pct"/>
            <w:noWrap w:val="0"/>
            <w:vAlign w:val="center"/>
          </w:tcPr>
          <w:p w14:paraId="381CEFB4">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投标人针对项目提供</w:t>
            </w:r>
            <w:r>
              <w:rPr>
                <w:rFonts w:hint="eastAsia" w:ascii="宋体" w:hAnsi="宋体" w:cs="宋体"/>
                <w:kern w:val="0"/>
                <w:sz w:val="20"/>
                <w:szCs w:val="20"/>
                <w:highlight w:val="none"/>
              </w:rPr>
              <w:t>应急预案以及应对措施</w:t>
            </w:r>
            <w:r>
              <w:rPr>
                <w:rFonts w:hint="eastAsia" w:ascii="宋体" w:hAnsi="宋体" w:cs="宋体"/>
                <w:color w:val="000000"/>
                <w:sz w:val="20"/>
                <w:szCs w:val="20"/>
                <w:highlight w:val="none"/>
                <w:lang w:val="en-US" w:eastAsia="zh-CN"/>
              </w:rPr>
              <w:t>方案，包含突发事件应对快捷性、保障措施全⾯完善且有明确方案。提供方案即得基础分3分，在此基础上从：</w:t>
            </w:r>
          </w:p>
          <w:p w14:paraId="5295F591">
            <w:pPr>
              <w:autoSpaceDE w:val="0"/>
              <w:autoSpaceDN w:val="0"/>
              <w:adjustRightInd w:val="0"/>
              <w:spacing w:line="360" w:lineRule="auto"/>
              <w:jc w:val="left"/>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1.</w:t>
            </w:r>
            <w:r>
              <w:rPr>
                <w:rFonts w:hint="eastAsia" w:ascii="宋体" w:hAnsi="宋体" w:cs="宋体"/>
                <w:kern w:val="0"/>
                <w:sz w:val="20"/>
                <w:szCs w:val="20"/>
                <w:highlight w:val="none"/>
              </w:rPr>
              <w:t>针对工程施工过程中可能遇到的各种风险的预案以及应对措施合理、切实可行得</w:t>
            </w:r>
            <w:r>
              <w:rPr>
                <w:rFonts w:hint="eastAsia" w:ascii="宋体" w:hAnsi="宋体" w:cs="宋体"/>
                <w:kern w:val="0"/>
                <w:sz w:val="20"/>
                <w:szCs w:val="20"/>
                <w:highlight w:val="none"/>
                <w:lang w:val="en-US" w:eastAsia="zh-CN"/>
              </w:rPr>
              <w:t>3分。</w:t>
            </w:r>
          </w:p>
          <w:p w14:paraId="4D140C89">
            <w:pPr>
              <w:autoSpaceDE w:val="0"/>
              <w:autoSpaceDN w:val="0"/>
              <w:adjustRightInd w:val="0"/>
              <w:spacing w:line="360" w:lineRule="auto"/>
              <w:jc w:val="left"/>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2.</w:t>
            </w:r>
            <w:r>
              <w:rPr>
                <w:rFonts w:hint="eastAsia" w:ascii="宋体" w:hAnsi="宋体" w:cs="宋体"/>
                <w:kern w:val="0"/>
                <w:sz w:val="20"/>
                <w:szCs w:val="20"/>
                <w:highlight w:val="none"/>
              </w:rPr>
              <w:t>针对工程施工过程中可能遇到的各种风险的预案以及应对措施</w:t>
            </w:r>
            <w:r>
              <w:rPr>
                <w:rFonts w:hint="eastAsia" w:ascii="宋体" w:hAnsi="宋体" w:cs="宋体"/>
                <w:kern w:val="0"/>
                <w:sz w:val="20"/>
                <w:szCs w:val="20"/>
                <w:highlight w:val="none"/>
                <w:lang w:eastAsia="zh-CN"/>
              </w:rPr>
              <w:t>较</w:t>
            </w:r>
            <w:r>
              <w:rPr>
                <w:rFonts w:hint="eastAsia" w:ascii="宋体" w:hAnsi="宋体" w:cs="宋体"/>
                <w:kern w:val="0"/>
                <w:sz w:val="20"/>
                <w:szCs w:val="20"/>
                <w:highlight w:val="none"/>
              </w:rPr>
              <w:t>合理可行得</w:t>
            </w:r>
            <w:r>
              <w:rPr>
                <w:rFonts w:hint="eastAsia" w:ascii="宋体" w:hAnsi="宋体" w:cs="宋体"/>
                <w:kern w:val="0"/>
                <w:sz w:val="20"/>
                <w:szCs w:val="20"/>
                <w:highlight w:val="none"/>
                <w:lang w:val="en-US" w:eastAsia="zh-CN"/>
              </w:rPr>
              <w:t>2</w:t>
            </w:r>
            <w:r>
              <w:rPr>
                <w:rFonts w:hint="eastAsia" w:ascii="宋体" w:hAnsi="宋体" w:cs="宋体"/>
                <w:kern w:val="0"/>
                <w:sz w:val="20"/>
                <w:szCs w:val="20"/>
                <w:highlight w:val="none"/>
              </w:rPr>
              <w:t>分</w:t>
            </w:r>
            <w:r>
              <w:rPr>
                <w:rFonts w:hint="eastAsia" w:ascii="宋体" w:hAnsi="宋体" w:cs="宋体"/>
                <w:kern w:val="0"/>
                <w:sz w:val="20"/>
                <w:szCs w:val="20"/>
                <w:highlight w:val="none"/>
                <w:lang w:val="en-US" w:eastAsia="zh-CN"/>
              </w:rPr>
              <w:t>。</w:t>
            </w:r>
          </w:p>
          <w:p w14:paraId="236355CD">
            <w:pPr>
              <w:autoSpaceDE w:val="0"/>
              <w:autoSpaceDN w:val="0"/>
              <w:adjustRightInd w:val="0"/>
              <w:spacing w:line="360" w:lineRule="auto"/>
              <w:jc w:val="left"/>
              <w:rPr>
                <w:rFonts w:hint="eastAsia" w:ascii="宋体" w:hAnsi="宋体" w:cs="宋体"/>
                <w:kern w:val="0"/>
                <w:sz w:val="20"/>
                <w:szCs w:val="20"/>
                <w:highlight w:val="none"/>
                <w:lang w:eastAsia="zh-CN"/>
              </w:rPr>
            </w:pPr>
            <w:r>
              <w:rPr>
                <w:rFonts w:hint="eastAsia" w:ascii="宋体" w:hAnsi="宋体" w:cs="宋体"/>
                <w:kern w:val="0"/>
                <w:sz w:val="20"/>
                <w:szCs w:val="20"/>
                <w:highlight w:val="none"/>
                <w:lang w:val="en-US" w:eastAsia="zh-CN"/>
              </w:rPr>
              <w:t>3.</w:t>
            </w:r>
            <w:r>
              <w:rPr>
                <w:rFonts w:hint="eastAsia" w:ascii="宋体" w:hAnsi="宋体" w:cs="宋体"/>
                <w:kern w:val="0"/>
                <w:sz w:val="20"/>
                <w:szCs w:val="20"/>
                <w:highlight w:val="none"/>
              </w:rPr>
              <w:t>针对工程施工过程中可能遇到的各种风险的预案以及应对措施合理可行</w:t>
            </w:r>
            <w:r>
              <w:rPr>
                <w:rFonts w:hint="eastAsia" w:ascii="宋体" w:hAnsi="宋体" w:cs="宋体"/>
                <w:kern w:val="0"/>
                <w:sz w:val="20"/>
                <w:szCs w:val="20"/>
                <w:highlight w:val="none"/>
                <w:lang w:eastAsia="zh-CN"/>
              </w:rPr>
              <w:t>性较一般</w:t>
            </w:r>
            <w:r>
              <w:rPr>
                <w:rFonts w:hint="eastAsia" w:ascii="宋体" w:hAnsi="宋体" w:cs="宋体"/>
                <w:kern w:val="0"/>
                <w:sz w:val="20"/>
                <w:szCs w:val="20"/>
                <w:highlight w:val="none"/>
              </w:rPr>
              <w:t>得</w:t>
            </w:r>
            <w:r>
              <w:rPr>
                <w:rFonts w:hint="eastAsia" w:ascii="宋体" w:hAnsi="宋体" w:cs="宋体"/>
                <w:kern w:val="0"/>
                <w:sz w:val="20"/>
                <w:szCs w:val="20"/>
                <w:highlight w:val="none"/>
                <w:lang w:val="en-US" w:eastAsia="zh-CN"/>
              </w:rPr>
              <w:t>1</w:t>
            </w:r>
            <w:r>
              <w:rPr>
                <w:rFonts w:hint="eastAsia" w:ascii="宋体" w:hAnsi="宋体" w:cs="宋体"/>
                <w:kern w:val="0"/>
                <w:sz w:val="20"/>
                <w:szCs w:val="20"/>
                <w:highlight w:val="none"/>
              </w:rPr>
              <w:t>分</w:t>
            </w:r>
            <w:r>
              <w:rPr>
                <w:rFonts w:hint="eastAsia" w:ascii="宋体" w:hAnsi="宋体" w:cs="宋体"/>
                <w:kern w:val="0"/>
                <w:sz w:val="20"/>
                <w:szCs w:val="20"/>
                <w:highlight w:val="none"/>
                <w:lang w:eastAsia="zh-CN"/>
              </w:rPr>
              <w:t>。</w:t>
            </w:r>
          </w:p>
          <w:p w14:paraId="2975B439">
            <w:pPr>
              <w:pStyle w:val="2"/>
              <w:rPr>
                <w:rFonts w:hint="default"/>
                <w:lang w:val="en-US" w:eastAsia="zh-CN"/>
              </w:rPr>
            </w:pPr>
            <w:r>
              <w:rPr>
                <w:rFonts w:hint="eastAsia" w:ascii="宋体" w:hAnsi="宋体" w:cs="宋体"/>
                <w:kern w:val="0"/>
                <w:sz w:val="20"/>
                <w:szCs w:val="20"/>
                <w:highlight w:val="none"/>
                <w:lang w:val="en-US" w:eastAsia="zh-CN"/>
              </w:rPr>
              <w:t>4.未提供，不得分。</w:t>
            </w:r>
          </w:p>
        </w:tc>
      </w:tr>
      <w:tr w14:paraId="0FF3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611" w:type="pct"/>
            <w:vMerge w:val="continue"/>
            <w:noWrap w:val="0"/>
            <w:vAlign w:val="center"/>
          </w:tcPr>
          <w:p w14:paraId="3E7CB30E">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lang w:val="en-US" w:eastAsia="zh-CN"/>
              </w:rPr>
            </w:pPr>
          </w:p>
        </w:tc>
        <w:tc>
          <w:tcPr>
            <w:tcW w:w="490" w:type="pct"/>
            <w:vMerge w:val="continue"/>
            <w:noWrap w:val="0"/>
            <w:vAlign w:val="center"/>
          </w:tcPr>
          <w:p w14:paraId="1AB42549">
            <w:pPr>
              <w:keepNext w:val="0"/>
              <w:keepLines w:val="0"/>
              <w:pageBreakBefore w:val="0"/>
              <w:kinsoku/>
              <w:wordWrap/>
              <w:topLinePunct w:val="0"/>
              <w:bidi w:val="0"/>
              <w:spacing w:line="240" w:lineRule="auto"/>
              <w:jc w:val="center"/>
              <w:rPr>
                <w:rFonts w:hint="eastAsia" w:ascii="宋体" w:hAnsi="宋体" w:eastAsia="宋体" w:cs="宋体"/>
                <w:kern w:val="0"/>
                <w:sz w:val="24"/>
                <w:szCs w:val="24"/>
              </w:rPr>
            </w:pPr>
          </w:p>
        </w:tc>
        <w:tc>
          <w:tcPr>
            <w:tcW w:w="576" w:type="pct"/>
            <w:vMerge w:val="continue"/>
            <w:noWrap w:val="0"/>
            <w:vAlign w:val="center"/>
          </w:tcPr>
          <w:p w14:paraId="12C5200D">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rPr>
            </w:pPr>
          </w:p>
        </w:tc>
        <w:tc>
          <w:tcPr>
            <w:tcW w:w="853" w:type="pct"/>
            <w:noWrap w:val="0"/>
            <w:vAlign w:val="center"/>
          </w:tcPr>
          <w:p w14:paraId="5249CF6F">
            <w:pPr>
              <w:pStyle w:val="32"/>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kern w:val="0"/>
                <w:sz w:val="20"/>
                <w:szCs w:val="20"/>
              </w:rPr>
            </w:pPr>
            <w:r>
              <w:rPr>
                <w:rFonts w:hint="eastAsia" w:ascii="宋体" w:hAnsi="宋体" w:eastAsia="宋体" w:cs="宋体"/>
                <w:color w:val="000000"/>
                <w:sz w:val="20"/>
                <w:szCs w:val="20"/>
              </w:rPr>
              <w:t>资源配备计划（</w:t>
            </w:r>
            <w:r>
              <w:rPr>
                <w:rFonts w:hint="eastAsia" w:hAnsi="宋体" w:cs="宋体"/>
                <w:color w:val="000000"/>
                <w:sz w:val="20"/>
                <w:szCs w:val="20"/>
                <w:lang w:val="en-US" w:eastAsia="zh-CN"/>
              </w:rPr>
              <w:t>5</w:t>
            </w:r>
            <w:r>
              <w:rPr>
                <w:rFonts w:hint="eastAsia" w:ascii="宋体" w:hAnsi="宋体" w:eastAsia="宋体" w:cs="宋体"/>
                <w:color w:val="000000"/>
                <w:sz w:val="20"/>
                <w:szCs w:val="20"/>
              </w:rPr>
              <w:t>分）</w:t>
            </w:r>
          </w:p>
        </w:tc>
        <w:tc>
          <w:tcPr>
            <w:tcW w:w="2467" w:type="pct"/>
            <w:noWrap w:val="0"/>
            <w:vAlign w:val="center"/>
          </w:tcPr>
          <w:p w14:paraId="6D6E9872">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default"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投标人针对项目提供</w:t>
            </w:r>
            <w:r>
              <w:rPr>
                <w:rFonts w:hint="eastAsia" w:ascii="宋体" w:hAnsi="宋体" w:eastAsia="宋体" w:cs="宋体"/>
                <w:color w:val="000000"/>
                <w:sz w:val="20"/>
                <w:szCs w:val="20"/>
                <w:highlight w:val="none"/>
              </w:rPr>
              <w:t>资源配备计划</w:t>
            </w:r>
            <w:r>
              <w:rPr>
                <w:rFonts w:hint="eastAsia" w:ascii="宋体" w:hAnsi="宋体" w:cs="宋体"/>
                <w:color w:val="000000"/>
                <w:sz w:val="20"/>
                <w:szCs w:val="20"/>
                <w:highlight w:val="none"/>
                <w:lang w:val="en-US" w:eastAsia="zh-CN"/>
              </w:rPr>
              <w:t>方案，包含对投入的劳动力人数合理性、专业搭配齐全程度、从业证件齐全（如焊接作业⼈员应有焊接作业证）、各施⼯⼈员职责划分清晰、人员分⼯明确、劳动力安排中充分考虑医院环境因素（如控制噪声、保障就诊来往人员安全等）、具备应对突发情况（如天⽓变化、⼯期调整）的⼈员调配⽅案有具体相应措施。提供方案即得基础分3分，在此基础上：</w:t>
            </w:r>
          </w:p>
          <w:p w14:paraId="67FE7A02">
            <w:pPr>
              <w:keepNext w:val="0"/>
              <w:keepLines w:val="0"/>
              <w:pageBreakBefore w:val="0"/>
              <w:widowControl/>
              <w:numPr>
                <w:ilvl w:val="0"/>
                <w:numId w:val="4"/>
              </w:numPr>
              <w:tabs>
                <w:tab w:val="clear" w:pos="312"/>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20"/>
                <w:szCs w:val="20"/>
                <w:highlight w:val="none"/>
              </w:rPr>
            </w:pPr>
            <w:r>
              <w:rPr>
                <w:rFonts w:hint="eastAsia" w:ascii="宋体" w:hAnsi="宋体" w:eastAsia="宋体" w:cs="宋体"/>
                <w:color w:val="000000"/>
                <w:sz w:val="20"/>
                <w:szCs w:val="20"/>
                <w:highlight w:val="none"/>
              </w:rPr>
              <w:t>投入的劳动力与施工设备数量、种类的全面、合理、有效，得</w:t>
            </w:r>
            <w:r>
              <w:rPr>
                <w:rFonts w:hint="eastAsia" w:ascii="宋体" w:hAnsi="宋体" w:cs="宋体"/>
                <w:color w:val="000000"/>
                <w:sz w:val="20"/>
                <w:szCs w:val="20"/>
                <w:highlight w:val="none"/>
                <w:lang w:val="en-US" w:eastAsia="zh-CN"/>
              </w:rPr>
              <w:t>2</w:t>
            </w:r>
            <w:r>
              <w:rPr>
                <w:rFonts w:hint="eastAsia" w:ascii="宋体" w:hAnsi="宋体" w:eastAsia="宋体" w:cs="宋体"/>
                <w:color w:val="000000"/>
                <w:sz w:val="20"/>
                <w:szCs w:val="20"/>
                <w:highlight w:val="none"/>
              </w:rPr>
              <w:t>分。</w:t>
            </w:r>
          </w:p>
          <w:p w14:paraId="6896A006">
            <w:pPr>
              <w:keepNext w:val="0"/>
              <w:keepLines w:val="0"/>
              <w:pageBreakBefore w:val="0"/>
              <w:widowControl/>
              <w:numPr>
                <w:ilvl w:val="0"/>
                <w:numId w:val="4"/>
              </w:numPr>
              <w:tabs>
                <w:tab w:val="clear" w:pos="312"/>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highlight w:val="none"/>
              </w:rPr>
            </w:pPr>
            <w:r>
              <w:rPr>
                <w:rFonts w:hint="eastAsia" w:ascii="宋体" w:hAnsi="宋体" w:eastAsia="宋体" w:cs="宋体"/>
                <w:color w:val="000000"/>
                <w:sz w:val="20"/>
                <w:szCs w:val="20"/>
                <w:highlight w:val="none"/>
              </w:rPr>
              <w:t>投入的劳动力与施工设备数量、种类较全面、较合理，得</w:t>
            </w:r>
            <w:r>
              <w:rPr>
                <w:rFonts w:hint="eastAsia" w:ascii="宋体" w:hAnsi="宋体" w:cs="宋体"/>
                <w:color w:val="000000"/>
                <w:sz w:val="20"/>
                <w:szCs w:val="20"/>
                <w:highlight w:val="none"/>
                <w:lang w:val="en-US" w:eastAsia="zh-CN"/>
              </w:rPr>
              <w:t>1</w:t>
            </w:r>
            <w:r>
              <w:rPr>
                <w:rFonts w:hint="eastAsia" w:ascii="宋体" w:hAnsi="宋体" w:eastAsia="宋体" w:cs="宋体"/>
                <w:color w:val="000000"/>
                <w:sz w:val="20"/>
                <w:szCs w:val="20"/>
                <w:highlight w:val="none"/>
              </w:rPr>
              <w:t>分。</w:t>
            </w:r>
          </w:p>
          <w:p w14:paraId="38DF1E57">
            <w:pPr>
              <w:keepNext w:val="0"/>
              <w:keepLines w:val="0"/>
              <w:pageBreakBefore w:val="0"/>
              <w:widowControl/>
              <w:numPr>
                <w:ilvl w:val="0"/>
                <w:numId w:val="4"/>
              </w:numPr>
              <w:tabs>
                <w:tab w:val="clear" w:pos="312"/>
              </w:tabs>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highlight w:val="none"/>
              </w:rPr>
            </w:pPr>
            <w:r>
              <w:rPr>
                <w:rFonts w:hint="eastAsia" w:ascii="宋体" w:hAnsi="宋体" w:eastAsia="宋体" w:cs="宋体"/>
                <w:color w:val="000000"/>
                <w:sz w:val="20"/>
                <w:szCs w:val="20"/>
                <w:highlight w:val="none"/>
              </w:rPr>
              <w:t>投入的劳动力与施工设备数量、种类的</w:t>
            </w:r>
            <w:r>
              <w:rPr>
                <w:rFonts w:hint="eastAsia" w:ascii="宋体" w:hAnsi="宋体" w:cs="宋体"/>
                <w:color w:val="000000"/>
                <w:sz w:val="20"/>
                <w:szCs w:val="20"/>
                <w:highlight w:val="none"/>
                <w:lang w:eastAsia="zh-CN"/>
              </w:rPr>
              <w:t>一般</w:t>
            </w:r>
            <w:r>
              <w:rPr>
                <w:rFonts w:hint="eastAsia" w:ascii="宋体" w:hAnsi="宋体" w:eastAsia="宋体" w:cs="宋体"/>
                <w:color w:val="000000"/>
                <w:sz w:val="20"/>
                <w:szCs w:val="20"/>
                <w:highlight w:val="none"/>
              </w:rPr>
              <w:t>合理，得</w:t>
            </w:r>
            <w:r>
              <w:rPr>
                <w:rFonts w:hint="eastAsia" w:ascii="宋体" w:hAnsi="宋体" w:cs="宋体"/>
                <w:color w:val="000000"/>
                <w:sz w:val="20"/>
                <w:szCs w:val="20"/>
                <w:highlight w:val="none"/>
                <w:lang w:val="en-US" w:eastAsia="zh-CN"/>
              </w:rPr>
              <w:t>0.5</w:t>
            </w:r>
            <w:r>
              <w:rPr>
                <w:rFonts w:hint="eastAsia" w:ascii="宋体" w:hAnsi="宋体" w:eastAsia="宋体" w:cs="宋体"/>
                <w:color w:val="000000"/>
                <w:sz w:val="20"/>
                <w:szCs w:val="20"/>
                <w:highlight w:val="none"/>
              </w:rPr>
              <w:t>分。</w:t>
            </w:r>
          </w:p>
          <w:p w14:paraId="270018FF">
            <w:pPr>
              <w:pStyle w:val="2"/>
              <w:rPr>
                <w:rFonts w:hint="default" w:eastAsia="宋体"/>
                <w:lang w:val="en-US" w:eastAsia="zh-CN"/>
              </w:rPr>
            </w:pPr>
            <w:r>
              <w:rPr>
                <w:rFonts w:hint="eastAsia" w:ascii="宋体" w:hAnsi="宋体" w:cs="宋体"/>
                <w:color w:val="000000"/>
                <w:sz w:val="20"/>
                <w:szCs w:val="20"/>
                <w:highlight w:val="none"/>
                <w:lang w:val="en-US" w:eastAsia="zh-CN"/>
              </w:rPr>
              <w:t>4.未提供，不得分。</w:t>
            </w:r>
          </w:p>
        </w:tc>
      </w:tr>
      <w:tr w14:paraId="2B6C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restart"/>
            <w:noWrap w:val="0"/>
            <w:vAlign w:val="center"/>
          </w:tcPr>
          <w:p w14:paraId="3073D2B6">
            <w:pPr>
              <w:pStyle w:val="6"/>
              <w:keepNext w:val="0"/>
              <w:keepLines w:val="0"/>
              <w:pageBreakBefore w:val="0"/>
              <w:kinsoku/>
              <w:wordWrap/>
              <w:topLinePunct w:val="0"/>
              <w:bidi w:val="0"/>
              <w:spacing w:line="240" w:lineRule="auto"/>
              <w:ind w:firstLine="0"/>
              <w:jc w:val="both"/>
              <w:rPr>
                <w:rFonts w:hint="eastAsia" w:ascii="宋体" w:hAnsi="宋体" w:eastAsia="宋体" w:cs="宋体"/>
                <w:sz w:val="24"/>
                <w:szCs w:val="24"/>
                <w:lang w:val="en-US" w:eastAsia="zh-CN"/>
              </w:rPr>
            </w:pPr>
            <w:r>
              <w:rPr>
                <w:rFonts w:hint="eastAsia" w:ascii="宋体" w:hAnsi="宋体" w:eastAsia="宋体" w:cs="宋体"/>
                <w:b/>
                <w:sz w:val="24"/>
                <w:szCs w:val="24"/>
                <w:highlight w:val="none"/>
                <w:lang w:eastAsia="zh-CN"/>
              </w:rPr>
              <w:t>商务部分</w:t>
            </w:r>
          </w:p>
        </w:tc>
        <w:tc>
          <w:tcPr>
            <w:tcW w:w="490" w:type="pct"/>
            <w:vMerge w:val="restart"/>
            <w:noWrap w:val="0"/>
            <w:vAlign w:val="center"/>
          </w:tcPr>
          <w:p w14:paraId="5F4C0F75">
            <w:pPr>
              <w:pStyle w:val="6"/>
              <w:keepNext w:val="0"/>
              <w:keepLines w:val="0"/>
              <w:pageBreakBefore w:val="0"/>
              <w:kinsoku/>
              <w:wordWrap/>
              <w:topLinePunct w:val="0"/>
              <w:bidi w:val="0"/>
              <w:spacing w:line="240" w:lineRule="auto"/>
              <w:ind w:firstLine="0"/>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15分</w:t>
            </w:r>
          </w:p>
        </w:tc>
        <w:tc>
          <w:tcPr>
            <w:tcW w:w="576" w:type="pct"/>
            <w:noWrap w:val="0"/>
            <w:vAlign w:val="center"/>
          </w:tcPr>
          <w:p w14:paraId="2388EDB0">
            <w:pPr>
              <w:keepNext w:val="0"/>
              <w:keepLines w:val="0"/>
              <w:pageBreakBefore w:val="0"/>
              <w:kinsoku/>
              <w:wordWrap/>
              <w:topLinePunct w:val="0"/>
              <w:bidi w:val="0"/>
              <w:spacing w:line="240" w:lineRule="auto"/>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响应供应商业绩（</w:t>
            </w:r>
            <w:r>
              <w:rPr>
                <w:rFonts w:hint="eastAsia" w:ascii="宋体" w:hAnsi="宋体" w:cs="宋体"/>
                <w:color w:val="000000"/>
                <w:kern w:val="2"/>
                <w:sz w:val="24"/>
                <w:szCs w:val="24"/>
                <w:highlight w:val="none"/>
                <w:lang w:val="en-US" w:eastAsia="zh-CN" w:bidi="ar-SA"/>
              </w:rPr>
              <w:t>9</w:t>
            </w:r>
            <w:r>
              <w:rPr>
                <w:rFonts w:hint="eastAsia" w:ascii="宋体" w:hAnsi="宋体" w:eastAsia="宋体" w:cs="宋体"/>
                <w:color w:val="000000"/>
                <w:kern w:val="2"/>
                <w:sz w:val="24"/>
                <w:szCs w:val="24"/>
                <w:highlight w:val="none"/>
                <w:lang w:val="en-US" w:eastAsia="zh-CN" w:bidi="ar-SA"/>
              </w:rPr>
              <w:t>分）</w:t>
            </w:r>
          </w:p>
        </w:tc>
        <w:tc>
          <w:tcPr>
            <w:tcW w:w="3321" w:type="pct"/>
            <w:gridSpan w:val="2"/>
            <w:noWrap w:val="0"/>
            <w:vAlign w:val="center"/>
          </w:tcPr>
          <w:p w14:paraId="6A547849">
            <w:pPr>
              <w:pStyle w:val="32"/>
              <w:keepNext w:val="0"/>
              <w:keepLines w:val="0"/>
              <w:pageBreakBefore w:val="0"/>
              <w:widowControl/>
              <w:kinsoku/>
              <w:wordWrap/>
              <w:overflowPunct/>
              <w:topLinePunct w:val="0"/>
              <w:autoSpaceDE/>
              <w:autoSpaceDN/>
              <w:bidi w:val="0"/>
              <w:snapToGrid w:val="0"/>
              <w:spacing w:line="240" w:lineRule="auto"/>
              <w:textAlignment w:val="auto"/>
              <w:rPr>
                <w:rFonts w:hint="eastAsia" w:ascii="宋体" w:hAnsi="宋体" w:eastAsia="宋体" w:cs="宋体"/>
                <w:color w:val="000000"/>
                <w:sz w:val="20"/>
                <w:szCs w:val="20"/>
              </w:rPr>
            </w:pPr>
            <w:r>
              <w:rPr>
                <w:rFonts w:hint="eastAsia" w:hAnsi="宋体" w:cs="宋体"/>
                <w:color w:val="000000"/>
                <w:sz w:val="20"/>
                <w:szCs w:val="20"/>
                <w:lang w:val="en-US" w:eastAsia="zh-CN"/>
              </w:rPr>
              <w:t>投标人提供</w:t>
            </w:r>
            <w:r>
              <w:rPr>
                <w:rFonts w:hint="eastAsia" w:ascii="宋体" w:hAnsi="宋体" w:eastAsia="宋体" w:cs="宋体"/>
                <w:color w:val="000000"/>
                <w:sz w:val="20"/>
                <w:szCs w:val="20"/>
              </w:rPr>
              <w:t>202</w:t>
            </w:r>
            <w:r>
              <w:rPr>
                <w:rFonts w:hint="eastAsia" w:hAnsi="宋体" w:cs="宋体"/>
                <w:color w:val="000000"/>
                <w:sz w:val="20"/>
                <w:szCs w:val="20"/>
                <w:lang w:val="en-US" w:eastAsia="zh-CN"/>
              </w:rPr>
              <w:t>3</w:t>
            </w:r>
            <w:r>
              <w:rPr>
                <w:rFonts w:hint="eastAsia" w:ascii="宋体" w:hAnsi="宋体" w:eastAsia="宋体" w:cs="宋体"/>
                <w:color w:val="000000"/>
                <w:sz w:val="20"/>
                <w:szCs w:val="20"/>
              </w:rPr>
              <w:t>年</w:t>
            </w:r>
            <w:r>
              <w:rPr>
                <w:rFonts w:hint="eastAsia" w:hAnsi="宋体" w:cs="宋体"/>
                <w:color w:val="000000"/>
                <w:sz w:val="20"/>
                <w:szCs w:val="20"/>
                <w:lang w:val="en-US" w:eastAsia="zh-CN"/>
              </w:rPr>
              <w:t>9</w:t>
            </w:r>
            <w:r>
              <w:rPr>
                <w:rFonts w:hint="eastAsia" w:ascii="宋体" w:hAnsi="宋体" w:eastAsia="宋体" w:cs="宋体"/>
                <w:color w:val="000000"/>
                <w:sz w:val="20"/>
                <w:szCs w:val="20"/>
              </w:rPr>
              <w:t>月</w:t>
            </w:r>
            <w:r>
              <w:rPr>
                <w:rFonts w:hint="eastAsia" w:hAnsi="宋体" w:cs="宋体"/>
                <w:color w:val="000000"/>
                <w:sz w:val="20"/>
                <w:szCs w:val="20"/>
                <w:lang w:val="en-US" w:eastAsia="zh-CN"/>
              </w:rPr>
              <w:t>1</w:t>
            </w:r>
            <w:r>
              <w:rPr>
                <w:rFonts w:hint="eastAsia" w:ascii="宋体" w:hAnsi="宋体" w:eastAsia="宋体" w:cs="宋体"/>
                <w:color w:val="000000"/>
                <w:sz w:val="20"/>
                <w:szCs w:val="20"/>
              </w:rPr>
              <w:t>日至今已完成或在建的类似</w:t>
            </w:r>
            <w:r>
              <w:rPr>
                <w:rFonts w:hint="eastAsia" w:ascii="宋体" w:hAnsi="宋体" w:eastAsia="宋体" w:cs="宋体"/>
                <w:color w:val="000000"/>
                <w:kern w:val="2"/>
                <w:sz w:val="20"/>
                <w:szCs w:val="20"/>
                <w:highlight w:val="none"/>
                <w:lang w:val="en-US" w:eastAsia="zh-CN" w:bidi="ar-SA"/>
              </w:rPr>
              <w:t>净化施工类似</w:t>
            </w:r>
            <w:r>
              <w:rPr>
                <w:rFonts w:hint="eastAsia" w:ascii="宋体" w:hAnsi="宋体" w:eastAsia="宋体" w:cs="宋体"/>
                <w:color w:val="000000"/>
                <w:sz w:val="20"/>
                <w:szCs w:val="20"/>
              </w:rPr>
              <w:t>工程承包业绩，每提供一项得</w:t>
            </w:r>
            <w:r>
              <w:rPr>
                <w:rFonts w:hint="eastAsia" w:hAnsi="宋体" w:cs="宋体"/>
                <w:color w:val="000000"/>
                <w:sz w:val="20"/>
                <w:szCs w:val="20"/>
                <w:lang w:val="en-US" w:eastAsia="zh-CN"/>
              </w:rPr>
              <w:t>3</w:t>
            </w:r>
            <w:r>
              <w:rPr>
                <w:rFonts w:hint="eastAsia" w:ascii="宋体" w:hAnsi="宋体" w:eastAsia="宋体" w:cs="宋体"/>
                <w:color w:val="000000"/>
                <w:sz w:val="20"/>
                <w:szCs w:val="20"/>
              </w:rPr>
              <w:t>分，最高得</w:t>
            </w:r>
            <w:r>
              <w:rPr>
                <w:rFonts w:hint="eastAsia" w:hAnsi="宋体" w:cs="宋体"/>
                <w:color w:val="000000"/>
                <w:sz w:val="20"/>
                <w:szCs w:val="20"/>
                <w:lang w:val="en-US" w:eastAsia="zh-CN"/>
              </w:rPr>
              <w:t>9</w:t>
            </w:r>
            <w:r>
              <w:rPr>
                <w:rFonts w:hint="eastAsia" w:ascii="宋体" w:hAnsi="宋体" w:eastAsia="宋体" w:cs="宋体"/>
                <w:color w:val="000000"/>
                <w:sz w:val="20"/>
                <w:szCs w:val="20"/>
              </w:rPr>
              <w:t>分</w:t>
            </w:r>
            <w:r>
              <w:rPr>
                <w:rFonts w:hint="eastAsia" w:hAnsi="宋体" w:cs="宋体"/>
                <w:color w:val="000000"/>
                <w:sz w:val="20"/>
                <w:szCs w:val="20"/>
                <w:lang w:eastAsia="zh-CN"/>
              </w:rPr>
              <w:t>。（</w:t>
            </w:r>
            <w:r>
              <w:rPr>
                <w:rFonts w:hint="eastAsia"/>
                <w:sz w:val="20"/>
                <w:szCs w:val="20"/>
              </w:rPr>
              <w:t>以签订合同日期为准</w:t>
            </w:r>
            <w:r>
              <w:rPr>
                <w:rFonts w:hint="eastAsia"/>
                <w:sz w:val="20"/>
                <w:szCs w:val="20"/>
                <w:lang w:eastAsia="zh-CN"/>
              </w:rPr>
              <w:t>）</w:t>
            </w:r>
            <w:r>
              <w:rPr>
                <w:rFonts w:hint="eastAsia" w:ascii="宋体" w:hAnsi="宋体" w:eastAsia="宋体" w:cs="宋体"/>
                <w:color w:val="000000"/>
                <w:sz w:val="20"/>
                <w:szCs w:val="20"/>
              </w:rPr>
              <w:t>。</w:t>
            </w:r>
          </w:p>
          <w:p w14:paraId="162BBFD8">
            <w:pPr>
              <w:pStyle w:val="32"/>
              <w:keepNext w:val="0"/>
              <w:keepLines w:val="0"/>
              <w:pageBreakBefore w:val="0"/>
              <w:widowControl/>
              <w:kinsoku/>
              <w:wordWrap/>
              <w:overflowPunct/>
              <w:topLinePunct w:val="0"/>
              <w:autoSpaceDE/>
              <w:autoSpaceDN/>
              <w:bidi w:val="0"/>
              <w:snapToGrid w:val="0"/>
              <w:spacing w:line="240" w:lineRule="auto"/>
              <w:textAlignment w:val="auto"/>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sz w:val="20"/>
                <w:szCs w:val="20"/>
                <w:lang w:val="en-US" w:eastAsia="zh-CN"/>
              </w:rPr>
              <w:t>业绩（销售或服务合同）中甲乙双方签章、合同签订时间、合同金额和项目名称必须清晰，否则不予承认。</w:t>
            </w:r>
          </w:p>
        </w:tc>
      </w:tr>
      <w:tr w14:paraId="1E6F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30E733B8">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rPr>
            </w:pPr>
          </w:p>
        </w:tc>
        <w:tc>
          <w:tcPr>
            <w:tcW w:w="490" w:type="pct"/>
            <w:vMerge w:val="continue"/>
            <w:noWrap w:val="0"/>
            <w:vAlign w:val="center"/>
          </w:tcPr>
          <w:p w14:paraId="1EE88DE4">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highlight w:val="none"/>
                <w:lang w:val="en-US" w:eastAsia="zh-CN"/>
              </w:rPr>
            </w:pPr>
          </w:p>
        </w:tc>
        <w:tc>
          <w:tcPr>
            <w:tcW w:w="576" w:type="pct"/>
            <w:noWrap w:val="0"/>
            <w:vAlign w:val="center"/>
          </w:tcPr>
          <w:p w14:paraId="74957745">
            <w:pPr>
              <w:keepNext w:val="0"/>
              <w:keepLines w:val="0"/>
              <w:pageBreakBefore w:val="0"/>
              <w:kinsoku/>
              <w:wordWrap/>
              <w:topLinePunct w:val="0"/>
              <w:bidi w:val="0"/>
              <w:spacing w:line="24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人员配置</w:t>
            </w:r>
          </w:p>
          <w:p w14:paraId="7EA9EDBB">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kern w:val="0"/>
                <w:sz w:val="24"/>
                <w:szCs w:val="24"/>
              </w:rPr>
              <w:t>（</w:t>
            </w:r>
            <w:r>
              <w:rPr>
                <w:rFonts w:hint="eastAsia" w:ascii="宋体" w:hAnsi="宋体" w:cs="宋体"/>
                <w:kern w:val="0"/>
                <w:sz w:val="24"/>
                <w:szCs w:val="24"/>
                <w:lang w:val="en-US" w:eastAsia="zh-CN"/>
              </w:rPr>
              <w:t>6</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分）</w:t>
            </w:r>
          </w:p>
        </w:tc>
        <w:tc>
          <w:tcPr>
            <w:tcW w:w="3321" w:type="pct"/>
            <w:gridSpan w:val="2"/>
            <w:noWrap w:val="0"/>
            <w:vAlign w:val="center"/>
          </w:tcPr>
          <w:p w14:paraId="32B14AC2">
            <w:pPr>
              <w:pStyle w:val="32"/>
              <w:keepNext w:val="0"/>
              <w:keepLines w:val="0"/>
              <w:pageBreakBefore w:val="0"/>
              <w:widowControl/>
              <w:numPr>
                <w:ilvl w:val="0"/>
                <w:numId w:val="0"/>
              </w:numPr>
              <w:kinsoku/>
              <w:wordWrap/>
              <w:overflowPunct/>
              <w:topLinePunct w:val="0"/>
              <w:autoSpaceDE/>
              <w:autoSpaceDN/>
              <w:bidi w:val="0"/>
              <w:snapToGrid w:val="0"/>
              <w:spacing w:line="240" w:lineRule="auto"/>
              <w:ind w:leftChars="0"/>
              <w:textAlignment w:val="auto"/>
              <w:rPr>
                <w:rFonts w:hint="eastAsia" w:ascii="宋体" w:hAnsi="宋体" w:eastAsia="宋体" w:cs="宋体"/>
                <w:b/>
                <w:bCs/>
                <w:sz w:val="20"/>
                <w:szCs w:val="20"/>
              </w:rPr>
            </w:pPr>
            <w:r>
              <w:rPr>
                <w:rFonts w:hint="eastAsia" w:ascii="宋体" w:hAnsi="宋体" w:eastAsia="宋体" w:cs="宋体"/>
                <w:b/>
                <w:bCs/>
                <w:sz w:val="20"/>
                <w:szCs w:val="20"/>
              </w:rPr>
              <w:t>施工人员：</w:t>
            </w:r>
          </w:p>
          <w:p w14:paraId="46395BCE">
            <w:pPr>
              <w:pStyle w:val="2"/>
              <w:rPr>
                <w:rFonts w:hint="default" w:ascii="宋体" w:hAnsi="宋体" w:eastAsia="宋体" w:cs="宋体"/>
                <w:color w:val="000000"/>
                <w:kern w:val="2"/>
                <w:sz w:val="24"/>
                <w:szCs w:val="21"/>
                <w:lang w:val="en-US" w:eastAsia="zh-CN" w:bidi="ar-SA"/>
              </w:rPr>
            </w:pPr>
            <w:r>
              <w:rPr>
                <w:rFonts w:hint="eastAsia" w:ascii="宋体" w:hAnsi="宋体" w:eastAsia="宋体" w:cs="宋体"/>
                <w:color w:val="000000"/>
                <w:kern w:val="2"/>
                <w:sz w:val="20"/>
                <w:szCs w:val="20"/>
                <w:highlight w:val="none"/>
                <w:lang w:val="zh-CN" w:eastAsia="zh-CN" w:bidi="ar-SA"/>
              </w:rPr>
              <w:t>配备项目负责人、项目技术负责人、施工员、安全员、质量员、资(材)料员。项目班子成员配备齐全</w:t>
            </w:r>
            <w:r>
              <w:rPr>
                <w:rFonts w:hint="eastAsia" w:ascii="宋体" w:hAnsi="宋体" w:eastAsia="宋体" w:cs="宋体"/>
                <w:color w:val="000000"/>
                <w:kern w:val="2"/>
                <w:sz w:val="20"/>
                <w:szCs w:val="20"/>
                <w:highlight w:val="none"/>
                <w:lang w:val="en-US" w:eastAsia="zh-CN" w:bidi="ar-SA"/>
              </w:rPr>
              <w:t>的</w:t>
            </w:r>
            <w:r>
              <w:rPr>
                <w:rFonts w:hint="eastAsia" w:ascii="宋体" w:hAnsi="宋体" w:eastAsia="宋体" w:cs="宋体"/>
                <w:color w:val="000000"/>
                <w:kern w:val="2"/>
                <w:sz w:val="20"/>
                <w:szCs w:val="20"/>
                <w:highlight w:val="none"/>
                <w:lang w:val="zh-CN" w:eastAsia="zh-CN" w:bidi="ar-SA"/>
              </w:rPr>
              <w:t>，得</w:t>
            </w:r>
            <w:r>
              <w:rPr>
                <w:rFonts w:hint="eastAsia" w:ascii="宋体" w:hAnsi="宋体" w:eastAsia="宋体" w:cs="宋体"/>
                <w:color w:val="000000"/>
                <w:kern w:val="2"/>
                <w:sz w:val="20"/>
                <w:szCs w:val="20"/>
                <w:highlight w:val="none"/>
                <w:lang w:val="en-US" w:eastAsia="zh-CN" w:bidi="ar-SA"/>
              </w:rPr>
              <w:t>6</w:t>
            </w:r>
            <w:r>
              <w:rPr>
                <w:rFonts w:hint="eastAsia" w:ascii="宋体" w:hAnsi="宋体" w:eastAsia="宋体" w:cs="宋体"/>
                <w:color w:val="000000"/>
                <w:kern w:val="2"/>
                <w:sz w:val="20"/>
                <w:szCs w:val="20"/>
                <w:highlight w:val="none"/>
                <w:lang w:val="zh-CN" w:eastAsia="zh-CN" w:bidi="ar-SA"/>
              </w:rPr>
              <w:t>分。每缺少一人扣</w:t>
            </w:r>
            <w:r>
              <w:rPr>
                <w:rFonts w:hint="eastAsia" w:ascii="宋体" w:hAnsi="宋体" w:eastAsia="宋体" w:cs="宋体"/>
                <w:color w:val="000000"/>
                <w:kern w:val="2"/>
                <w:sz w:val="20"/>
                <w:szCs w:val="20"/>
                <w:highlight w:val="none"/>
                <w:lang w:val="en-US" w:eastAsia="zh-CN" w:bidi="ar-SA"/>
              </w:rPr>
              <w:t>1</w:t>
            </w:r>
            <w:r>
              <w:rPr>
                <w:rFonts w:hint="eastAsia" w:ascii="宋体" w:hAnsi="宋体" w:eastAsia="宋体" w:cs="宋体"/>
                <w:color w:val="000000"/>
                <w:kern w:val="2"/>
                <w:sz w:val="20"/>
                <w:szCs w:val="20"/>
                <w:highlight w:val="none"/>
                <w:lang w:val="zh-CN" w:eastAsia="zh-CN" w:bidi="ar-SA"/>
              </w:rPr>
              <w:t>分，扣完为止。需提供</w:t>
            </w:r>
            <w:r>
              <w:rPr>
                <w:rFonts w:hint="eastAsia" w:ascii="宋体" w:hAnsi="宋体" w:eastAsia="宋体" w:cs="宋体"/>
                <w:color w:val="000000"/>
                <w:kern w:val="2"/>
                <w:sz w:val="20"/>
                <w:szCs w:val="20"/>
                <w:highlight w:val="none"/>
                <w:lang w:val="en-US" w:eastAsia="zh-CN" w:bidi="ar-SA"/>
              </w:rPr>
              <w:t>人员</w:t>
            </w:r>
            <w:r>
              <w:rPr>
                <w:rFonts w:hint="eastAsia" w:ascii="宋体" w:hAnsi="宋体" w:eastAsia="宋体" w:cs="宋体"/>
                <w:color w:val="000000"/>
                <w:kern w:val="2"/>
                <w:sz w:val="20"/>
                <w:szCs w:val="20"/>
                <w:highlight w:val="none"/>
                <w:lang w:val="zh-CN" w:eastAsia="zh-CN" w:bidi="ar-SA"/>
              </w:rPr>
              <w:t>岗位资格证书证明</w:t>
            </w:r>
            <w:r>
              <w:rPr>
                <w:rFonts w:hint="eastAsia" w:ascii="宋体" w:hAnsi="宋体" w:eastAsia="宋体" w:cs="宋体"/>
                <w:color w:val="000000"/>
                <w:kern w:val="2"/>
                <w:sz w:val="20"/>
                <w:szCs w:val="20"/>
                <w:highlight w:val="none"/>
                <w:lang w:val="en-US" w:eastAsia="zh-CN" w:bidi="ar-SA"/>
              </w:rPr>
              <w:t>资料</w:t>
            </w:r>
            <w:r>
              <w:rPr>
                <w:rFonts w:hint="eastAsia" w:ascii="宋体" w:hAnsi="宋体" w:eastAsia="宋体" w:cs="宋体"/>
                <w:color w:val="000000"/>
                <w:kern w:val="2"/>
                <w:sz w:val="20"/>
                <w:szCs w:val="20"/>
                <w:highlight w:val="none"/>
                <w:lang w:val="zh-CN" w:eastAsia="zh-CN" w:bidi="ar-SA"/>
              </w:rPr>
              <w:t>，</w:t>
            </w:r>
            <w:r>
              <w:rPr>
                <w:rFonts w:hint="eastAsia" w:ascii="宋体" w:hAnsi="宋体" w:eastAsia="宋体" w:cs="宋体"/>
                <w:color w:val="000000"/>
                <w:kern w:val="2"/>
                <w:sz w:val="20"/>
                <w:szCs w:val="20"/>
                <w:highlight w:val="none"/>
                <w:lang w:val="en-US" w:eastAsia="zh-CN" w:bidi="ar-SA"/>
              </w:rPr>
              <w:t>未</w:t>
            </w:r>
            <w:r>
              <w:rPr>
                <w:rFonts w:hint="eastAsia" w:ascii="宋体" w:hAnsi="宋体" w:eastAsia="宋体" w:cs="宋体"/>
                <w:color w:val="000000"/>
                <w:kern w:val="2"/>
                <w:sz w:val="20"/>
                <w:szCs w:val="20"/>
                <w:highlight w:val="none"/>
                <w:lang w:val="zh-CN" w:eastAsia="zh-CN" w:bidi="ar-SA"/>
              </w:rPr>
              <w:t>提供不得分。</w:t>
            </w:r>
          </w:p>
        </w:tc>
      </w:tr>
      <w:tr w14:paraId="4231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noWrap w:val="0"/>
            <w:vAlign w:val="center"/>
          </w:tcPr>
          <w:p w14:paraId="04C923E4">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rPr>
            </w:pPr>
          </w:p>
        </w:tc>
        <w:tc>
          <w:tcPr>
            <w:tcW w:w="490" w:type="pct"/>
            <w:noWrap w:val="0"/>
            <w:vAlign w:val="center"/>
          </w:tcPr>
          <w:p w14:paraId="486B708F">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highlight w:val="none"/>
                <w:lang w:val="en-US" w:eastAsia="zh-CN"/>
              </w:rPr>
            </w:pPr>
          </w:p>
        </w:tc>
        <w:tc>
          <w:tcPr>
            <w:tcW w:w="576" w:type="pct"/>
            <w:noWrap w:val="0"/>
            <w:vAlign w:val="center"/>
          </w:tcPr>
          <w:p w14:paraId="142219D4">
            <w:pPr>
              <w:spacing w:line="360" w:lineRule="auto"/>
              <w:jc w:val="center"/>
              <w:rPr>
                <w:rFonts w:hint="eastAsia" w:ascii="宋体" w:hAnsi="宋体" w:eastAsia="宋体" w:cs="宋体"/>
                <w:kern w:val="0"/>
                <w:sz w:val="24"/>
                <w:szCs w:val="24"/>
              </w:rPr>
            </w:pPr>
          </w:p>
        </w:tc>
        <w:tc>
          <w:tcPr>
            <w:tcW w:w="3321" w:type="pct"/>
            <w:gridSpan w:val="2"/>
            <w:noWrap w:val="0"/>
            <w:vAlign w:val="center"/>
          </w:tcPr>
          <w:p w14:paraId="1FB470D8">
            <w:pPr>
              <w:pStyle w:val="2"/>
              <w:rPr>
                <w:rFonts w:hint="eastAsia" w:ascii="宋体" w:hAnsi="宋体" w:eastAsia="宋体" w:cs="宋体"/>
                <w:color w:val="000000"/>
                <w:kern w:val="2"/>
                <w:sz w:val="20"/>
                <w:szCs w:val="20"/>
                <w:highlight w:val="none"/>
                <w:lang w:val="zh-CN" w:eastAsia="zh-CN" w:bidi="ar-SA"/>
              </w:rPr>
            </w:pPr>
          </w:p>
        </w:tc>
      </w:tr>
    </w:tbl>
    <w:p w14:paraId="7F6E6477">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1981782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4E46D88C">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1DA13D7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0D2AB28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6C1F0A90">
      <w:pPr>
        <w:pStyle w:val="2"/>
        <w:rPr>
          <w:rFonts w:hint="eastAsia" w:ascii="宋体" w:hAnsi="宋体" w:eastAsia="宋体" w:cs="宋体"/>
          <w:b/>
          <w:sz w:val="28"/>
          <w:szCs w:val="28"/>
          <w:lang w:val="en-US" w:eastAsia="zh-CN"/>
        </w:rPr>
      </w:pPr>
    </w:p>
    <w:p w14:paraId="323114E7">
      <w:pPr>
        <w:pStyle w:val="2"/>
        <w:rPr>
          <w:rFonts w:hint="eastAsia" w:ascii="宋体" w:hAnsi="宋体" w:eastAsia="宋体" w:cs="宋体"/>
          <w:b/>
          <w:sz w:val="28"/>
          <w:szCs w:val="28"/>
          <w:lang w:val="en-US" w:eastAsia="zh-CN"/>
        </w:rPr>
      </w:pPr>
    </w:p>
    <w:p w14:paraId="7F145D24">
      <w:pPr>
        <w:pStyle w:val="2"/>
        <w:rPr>
          <w:rFonts w:hint="eastAsia" w:ascii="宋体" w:hAnsi="宋体" w:eastAsia="宋体" w:cs="宋体"/>
          <w:b/>
          <w:sz w:val="28"/>
          <w:szCs w:val="28"/>
          <w:lang w:val="en-US" w:eastAsia="zh-CN"/>
        </w:rPr>
      </w:pPr>
    </w:p>
    <w:p w14:paraId="64CBB02D">
      <w:pPr>
        <w:pStyle w:val="2"/>
        <w:rPr>
          <w:rFonts w:hint="eastAsia" w:ascii="宋体" w:hAnsi="宋体" w:eastAsia="宋体" w:cs="宋体"/>
          <w:b/>
          <w:sz w:val="28"/>
          <w:szCs w:val="28"/>
          <w:lang w:val="en-US" w:eastAsia="zh-CN"/>
        </w:rPr>
      </w:pPr>
    </w:p>
    <w:p w14:paraId="7AF40DDD">
      <w:pPr>
        <w:pStyle w:val="2"/>
        <w:rPr>
          <w:rFonts w:hint="eastAsia" w:ascii="宋体" w:hAnsi="宋体" w:eastAsia="宋体" w:cs="宋体"/>
          <w:b/>
          <w:sz w:val="28"/>
          <w:szCs w:val="28"/>
          <w:lang w:val="en-US" w:eastAsia="zh-CN"/>
        </w:rPr>
      </w:pPr>
    </w:p>
    <w:p w14:paraId="5AD9138E">
      <w:pPr>
        <w:pStyle w:val="2"/>
        <w:rPr>
          <w:rFonts w:hint="eastAsia" w:ascii="宋体" w:hAnsi="宋体" w:eastAsia="宋体" w:cs="宋体"/>
          <w:b/>
          <w:sz w:val="28"/>
          <w:szCs w:val="28"/>
          <w:lang w:val="en-US" w:eastAsia="zh-CN"/>
        </w:rPr>
      </w:pPr>
    </w:p>
    <w:p w14:paraId="1EBE459F">
      <w:pPr>
        <w:pStyle w:val="2"/>
        <w:rPr>
          <w:rFonts w:hint="eastAsia" w:ascii="宋体" w:hAnsi="宋体" w:eastAsia="宋体" w:cs="宋体"/>
          <w:b/>
          <w:sz w:val="28"/>
          <w:szCs w:val="28"/>
          <w:lang w:val="en-US" w:eastAsia="zh-CN"/>
        </w:rPr>
      </w:pPr>
    </w:p>
    <w:p w14:paraId="0AF48D41">
      <w:pPr>
        <w:pStyle w:val="2"/>
        <w:rPr>
          <w:rFonts w:hint="eastAsia" w:ascii="宋体" w:hAnsi="宋体" w:eastAsia="宋体" w:cs="宋体"/>
          <w:b/>
          <w:sz w:val="28"/>
          <w:szCs w:val="28"/>
          <w:lang w:val="en-US" w:eastAsia="zh-CN"/>
        </w:rPr>
      </w:pPr>
    </w:p>
    <w:p w14:paraId="463644BA">
      <w:pPr>
        <w:pStyle w:val="2"/>
        <w:rPr>
          <w:rFonts w:hint="eastAsia" w:ascii="宋体" w:hAnsi="宋体" w:eastAsia="宋体" w:cs="宋体"/>
          <w:b/>
          <w:sz w:val="28"/>
          <w:szCs w:val="28"/>
          <w:lang w:val="en-US" w:eastAsia="zh-CN"/>
        </w:rPr>
      </w:pPr>
    </w:p>
    <w:p w14:paraId="12DF355A">
      <w:pPr>
        <w:pStyle w:val="2"/>
        <w:rPr>
          <w:rFonts w:hint="eastAsia" w:ascii="宋体" w:hAnsi="宋体" w:eastAsia="宋体" w:cs="宋体"/>
          <w:b/>
          <w:sz w:val="28"/>
          <w:szCs w:val="28"/>
          <w:lang w:val="en-US" w:eastAsia="zh-CN"/>
        </w:rPr>
      </w:pPr>
    </w:p>
    <w:p w14:paraId="44AA1A8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9"/>
      </w:pPr>
    </w:p>
    <w:p w14:paraId="3132B795"/>
    <w:p w14:paraId="0A576042">
      <w:pPr>
        <w:pStyle w:val="9"/>
      </w:pPr>
    </w:p>
    <w:p w14:paraId="6DC81925"/>
    <w:p w14:paraId="73950FA8">
      <w:pPr>
        <w:pStyle w:val="9"/>
      </w:pPr>
    </w:p>
    <w:p w14:paraId="3D3ADE1E"/>
    <w:p w14:paraId="3EA602B9">
      <w:pPr>
        <w:pStyle w:val="9"/>
      </w:pPr>
    </w:p>
    <w:p w14:paraId="1C2369B1"/>
    <w:p w14:paraId="3D46A060">
      <w:pPr>
        <w:pStyle w:val="9"/>
      </w:pPr>
    </w:p>
    <w:p w14:paraId="0941FFCE"/>
    <w:p w14:paraId="46CE1A36">
      <w:pPr>
        <w:pStyle w:val="9"/>
      </w:pPr>
    </w:p>
    <w:p w14:paraId="2D3AA324"/>
    <w:p w14:paraId="5C50B345">
      <w:pPr>
        <w:pStyle w:val="9"/>
      </w:pPr>
    </w:p>
    <w:p w14:paraId="1C24A7AD"/>
    <w:p w14:paraId="38F03B4E">
      <w:pPr>
        <w:pStyle w:val="9"/>
      </w:pPr>
    </w:p>
    <w:p w14:paraId="5AB51ED1"/>
    <w:p w14:paraId="6F67E51F">
      <w:pPr>
        <w:pStyle w:val="9"/>
      </w:pPr>
    </w:p>
    <w:p w14:paraId="74F8E7E8"/>
    <w:p w14:paraId="5CC96C96">
      <w:pPr>
        <w:pStyle w:val="4"/>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w:t>
      </w:r>
      <w:r>
        <w:rPr>
          <w:rFonts w:hint="eastAsia" w:ascii="宋体" w:hAnsi="宋体" w:eastAsia="宋体" w:cs="宋体"/>
          <w:b w:val="0"/>
          <w:color w:val="000000"/>
          <w:sz w:val="24"/>
          <w:szCs w:val="24"/>
          <w:lang w:val="en-US" w:eastAsia="zh-CN"/>
        </w:rPr>
        <w:t>工程量清单</w:t>
      </w:r>
      <w:r>
        <w:rPr>
          <w:rFonts w:ascii="宋体" w:hAnsi="宋体" w:eastAsia="宋体" w:cs="宋体"/>
          <w:b w:val="0"/>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2C73EE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571724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ECD5A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6"/>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工期</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本项目要求的所有货物、设备</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4"/>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5"/>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5"/>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5"/>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5"/>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5"/>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5"/>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5"/>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5"/>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5"/>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十三、技术参数偏离表 （包括各项佐证材料）</w:t>
      </w:r>
    </w:p>
    <w:tbl>
      <w:tblPr>
        <w:tblStyle w:val="1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5"/>
        <w:rPr>
          <w:rFonts w:hint="default" w:ascii="宋体" w:hAnsi="宋体" w:eastAsia="宋体" w:cs="宋体"/>
          <w:b/>
          <w:bCs/>
          <w:color w:val="000000"/>
          <w:kern w:val="0"/>
          <w:sz w:val="24"/>
          <w:szCs w:val="24"/>
          <w:lang w:val="en-US" w:eastAsia="zh-CN" w:bidi="zh-CN"/>
        </w:rPr>
      </w:pPr>
      <w:r>
        <w:rPr>
          <w:rFonts w:hint="eastAsia" w:eastAsia="宋体"/>
          <w:lang w:val="en-US" w:eastAsia="zh-CN"/>
        </w:rPr>
        <w:t xml:space="preserve">      </w:t>
      </w:r>
      <w:r>
        <w:rPr>
          <w:rFonts w:hint="eastAsia" w:ascii="宋体" w:hAnsi="宋体" w:eastAsia="宋体" w:cs="宋体"/>
          <w:b/>
          <w:bCs/>
          <w:color w:val="000000"/>
          <w:kern w:val="0"/>
          <w:sz w:val="24"/>
          <w:szCs w:val="24"/>
          <w:lang w:val="en-US" w:eastAsia="zh-CN" w:bidi="zh-CN"/>
        </w:rPr>
        <w:t>4.若技术参数（非标★项）的响应内容或证明材料与招标文件参数要求不符，按负偏离处理。</w:t>
      </w:r>
    </w:p>
    <w:p w14:paraId="2104070E">
      <w:pPr>
        <w:keepNext w:val="0"/>
        <w:keepLines w:val="0"/>
        <w:pageBreakBefore w:val="0"/>
        <w:widowControl/>
        <w:numPr>
          <w:ilvl w:val="0"/>
          <w:numId w:val="7"/>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工程量清单</w:t>
      </w:r>
    </w:p>
    <w:p w14:paraId="68686F9A">
      <w:pPr>
        <w:pStyle w:val="5"/>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SourceHanSerifCNVF-Medium">
    <w:altName w:val="方正宝黑体 简 Light"/>
    <w:panose1 w:val="00000000000000000000"/>
    <w:charset w:val="00"/>
    <w:family w:val="auto"/>
    <w:pitch w:val="default"/>
    <w:sig w:usb0="00000000" w:usb1="00000000" w:usb2="00000000" w:usb3="00000000" w:csb0="00040001" w:csb1="00000000"/>
  </w:font>
  <w:font w:name="方正宝黑体 简 Light">
    <w:panose1 w:val="020004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EA78C0"/>
    <w:multiLevelType w:val="singleLevel"/>
    <w:tmpl w:val="22EA78C0"/>
    <w:lvl w:ilvl="0" w:tentative="0">
      <w:start w:val="1"/>
      <w:numFmt w:val="decimal"/>
      <w:lvlText w:val="%1."/>
      <w:lvlJc w:val="left"/>
      <w:pPr>
        <w:tabs>
          <w:tab w:val="left" w:pos="312"/>
        </w:tabs>
      </w:pPr>
    </w:lvl>
  </w:abstractNum>
  <w:abstractNum w:abstractNumId="1">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2">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3">
    <w:nsid w:val="34CF1FFF"/>
    <w:multiLevelType w:val="singleLevel"/>
    <w:tmpl w:val="34CF1FFF"/>
    <w:lvl w:ilvl="0" w:tentative="0">
      <w:start w:val="1"/>
      <w:numFmt w:val="decimal"/>
      <w:lvlText w:val="%1."/>
      <w:lvlJc w:val="left"/>
      <w:pPr>
        <w:tabs>
          <w:tab w:val="left" w:pos="312"/>
        </w:tabs>
      </w:pPr>
    </w:lvl>
  </w:abstractNum>
  <w:abstractNum w:abstractNumId="4">
    <w:nsid w:val="43B5E7C1"/>
    <w:multiLevelType w:val="singleLevel"/>
    <w:tmpl w:val="43B5E7C1"/>
    <w:lvl w:ilvl="0" w:tentative="0">
      <w:start w:val="14"/>
      <w:numFmt w:val="chineseCounting"/>
      <w:suff w:val="nothing"/>
      <w:lvlText w:val="%1、"/>
      <w:lvlJc w:val="left"/>
      <w:rPr>
        <w:rFonts w:hint="eastAsia"/>
      </w:rPr>
    </w:lvl>
  </w:abstractNum>
  <w:abstractNum w:abstractNumId="5">
    <w:nsid w:val="5C6A04CC"/>
    <w:multiLevelType w:val="singleLevel"/>
    <w:tmpl w:val="5C6A04CC"/>
    <w:lvl w:ilvl="0" w:tentative="0">
      <w:start w:val="1"/>
      <w:numFmt w:val="chineseCounting"/>
      <w:suff w:val="space"/>
      <w:lvlText w:val="第%1章"/>
      <w:lvlJc w:val="left"/>
      <w:rPr>
        <w:rFonts w:hint="eastAsia"/>
      </w:rPr>
    </w:lvl>
  </w:abstractNum>
  <w:abstractNum w:abstractNumId="6">
    <w:nsid w:val="6AA9C9E5"/>
    <w:multiLevelType w:val="singleLevel"/>
    <w:tmpl w:val="6AA9C9E5"/>
    <w:lvl w:ilvl="0" w:tentative="0">
      <w:start w:val="2"/>
      <w:numFmt w:val="chineseCounting"/>
      <w:suff w:val="nothing"/>
      <w:lvlText w:val="%1、"/>
      <w:lvlJc w:val="left"/>
      <w:rPr>
        <w:rFonts w:hint="eastAsia"/>
      </w:rPr>
    </w:lvl>
  </w:abstractNum>
  <w:num w:numId="1">
    <w:abstractNumId w:val="5"/>
  </w:num>
  <w:num w:numId="2">
    <w:abstractNumId w:val="6"/>
  </w:num>
  <w:num w:numId="3">
    <w:abstractNumId w:val="3"/>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0EB7843"/>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1F902F4A"/>
    <w:rsid w:val="20341AF8"/>
    <w:rsid w:val="2092329D"/>
    <w:rsid w:val="214C62A1"/>
    <w:rsid w:val="216D46C6"/>
    <w:rsid w:val="219306DB"/>
    <w:rsid w:val="224C6733"/>
    <w:rsid w:val="23507ADC"/>
    <w:rsid w:val="241F1D5F"/>
    <w:rsid w:val="24A7212A"/>
    <w:rsid w:val="24BE0363"/>
    <w:rsid w:val="25757733"/>
    <w:rsid w:val="26470B4A"/>
    <w:rsid w:val="266437D3"/>
    <w:rsid w:val="267A5F90"/>
    <w:rsid w:val="26915EA6"/>
    <w:rsid w:val="26DE053E"/>
    <w:rsid w:val="274D7F79"/>
    <w:rsid w:val="276714E7"/>
    <w:rsid w:val="281659F6"/>
    <w:rsid w:val="29143DE9"/>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46AB5"/>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4062957"/>
    <w:rsid w:val="75080C92"/>
    <w:rsid w:val="75554A93"/>
    <w:rsid w:val="75E17EDC"/>
    <w:rsid w:val="764374D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
    <w:autoRedefine/>
    <w:qFormat/>
    <w:uiPriority w:val="1"/>
    <w:pPr>
      <w:jc w:val="both"/>
    </w:pPr>
    <w:rPr>
      <w:rFonts w:asciiTheme="minorHAnsi" w:hAnsiTheme="minorHAnsi" w:eastAsiaTheme="minorEastAsia" w:cstheme="minorBidi"/>
      <w:sz w:val="21"/>
      <w:szCs w:val="21"/>
      <w:lang w:val="en-US" w:eastAsia="zh-CN" w:bidi="ar-SA"/>
    </w:rPr>
  </w:style>
  <w:style w:type="paragraph" w:styleId="3">
    <w:name w:val="heading 1"/>
    <w:basedOn w:val="1"/>
    <w:next w:val="1"/>
    <w:autoRedefine/>
    <w:qFormat/>
    <w:uiPriority w:val="7"/>
    <w:pPr>
      <w:spacing w:before="340" w:after="330" w:line="578" w:lineRule="auto"/>
      <w:outlineLvl w:val="0"/>
    </w:pPr>
    <w:rPr>
      <w:b/>
      <w:sz w:val="44"/>
      <w:szCs w:val="44"/>
    </w:rPr>
  </w:style>
  <w:style w:type="paragraph" w:styleId="4">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5">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6">
    <w:name w:val="Default Paragraph Font"/>
    <w:autoRedefine/>
    <w:semiHidden/>
    <w:qFormat/>
    <w:uiPriority w:val="2"/>
  </w:style>
  <w:style w:type="table" w:default="1" w:styleId="14">
    <w:name w:val="Normal Table"/>
    <w:semiHidden/>
    <w:qFormat/>
    <w:uiPriority w:val="3"/>
    <w:tblPr>
      <w:tblCellMar>
        <w:top w:w="0" w:type="dxa"/>
        <w:left w:w="108" w:type="dxa"/>
        <w:bottom w:w="0" w:type="dxa"/>
        <w:right w:w="108" w:type="dxa"/>
      </w:tblCellMar>
    </w:tblPr>
  </w:style>
  <w:style w:type="paragraph" w:styleId="2">
    <w:name w:val="Body Text 2"/>
    <w:basedOn w:val="1"/>
    <w:unhideWhenUsed/>
    <w:qFormat/>
    <w:uiPriority w:val="99"/>
    <w:pPr>
      <w:spacing w:line="480" w:lineRule="auto"/>
    </w:pPr>
  </w:style>
  <w:style w:type="paragraph" w:styleId="6">
    <w:name w:val="Normal Indent"/>
    <w:basedOn w:val="1"/>
    <w:qFormat/>
    <w:uiPriority w:val="0"/>
    <w:pPr>
      <w:adjustRightInd w:val="0"/>
      <w:spacing w:line="360" w:lineRule="atLeast"/>
      <w:ind w:firstLine="482"/>
      <w:textAlignment w:val="baseline"/>
    </w:pPr>
    <w:rPr>
      <w:kern w:val="0"/>
      <w:sz w:val="24"/>
      <w:szCs w:val="20"/>
    </w:rPr>
  </w:style>
  <w:style w:type="paragraph" w:styleId="7">
    <w:name w:val="Body Text"/>
    <w:basedOn w:val="1"/>
    <w:next w:val="1"/>
    <w:qFormat/>
    <w:uiPriority w:val="1"/>
    <w:rPr>
      <w:rFonts w:ascii="微软雅黑" w:hAnsi="微软雅黑" w:eastAsia="微软雅黑" w:cs="微软雅黑"/>
      <w:sz w:val="15"/>
      <w:szCs w:val="15"/>
      <w:lang w:val="zh-CN" w:bidi="zh-CN"/>
    </w:rPr>
  </w:style>
  <w:style w:type="paragraph" w:styleId="8">
    <w:name w:val="Body Text Indent"/>
    <w:basedOn w:val="1"/>
    <w:qFormat/>
    <w:uiPriority w:val="0"/>
    <w:pPr>
      <w:spacing w:after="120"/>
      <w:ind w:left="420" w:leftChars="200"/>
    </w:pPr>
  </w:style>
  <w:style w:type="paragraph" w:styleId="9">
    <w:name w:val="Plain Text"/>
    <w:basedOn w:val="1"/>
    <w:qFormat/>
    <w:uiPriority w:val="0"/>
    <w:rPr>
      <w:rFonts w:ascii="宋体" w:hAnsi="Courier New"/>
    </w:rPr>
  </w:style>
  <w:style w:type="paragraph" w:styleId="10">
    <w:name w:val="footer"/>
    <w:basedOn w:val="1"/>
    <w:qFormat/>
    <w:uiPriority w:val="151"/>
    <w:pPr>
      <w:tabs>
        <w:tab w:val="center" w:pos="4153"/>
        <w:tab w:val="right" w:pos="8306"/>
      </w:tabs>
      <w:snapToGrid w:val="0"/>
      <w:jc w:val="left"/>
    </w:pPr>
    <w:rPr>
      <w:sz w:val="18"/>
      <w:szCs w:val="18"/>
    </w:rPr>
  </w:style>
  <w:style w:type="paragraph" w:styleId="11">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2">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3">
    <w:name w:val="Body Text First Indent 2"/>
    <w:basedOn w:val="8"/>
    <w:qFormat/>
    <w:uiPriority w:val="0"/>
    <w:pPr>
      <w:ind w:firstLine="420" w:firstLineChars="200"/>
    </w:pPr>
  </w:style>
  <w:style w:type="table" w:styleId="15">
    <w:name w:val="Table Grid"/>
    <w:basedOn w:val="14"/>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Normal_6"/>
    <w:next w:val="9"/>
    <w:qFormat/>
    <w:uiPriority w:val="0"/>
    <w:pPr>
      <w:widowControl w:val="0"/>
      <w:jc w:val="both"/>
    </w:pPr>
    <w:rPr>
      <w:rFonts w:ascii="Times New Roman" w:hAnsi="Times New Roman" w:eastAsia="宋体" w:cs="Times New Roman"/>
      <w:kern w:val="2"/>
      <w:sz w:val="21"/>
      <w:lang w:val="en-US" w:eastAsia="zh-CN" w:bidi="ar-SA"/>
    </w:rPr>
  </w:style>
  <w:style w:type="paragraph" w:styleId="18">
    <w:name w:val="List Paragraph"/>
    <w:basedOn w:val="1"/>
    <w:qFormat/>
    <w:uiPriority w:val="26"/>
    <w:pPr>
      <w:ind w:firstLine="200"/>
    </w:pPr>
    <w:rPr>
      <w:rFonts w:ascii="Times New Roman" w:hAnsi="Times New Roman" w:eastAsia="宋体" w:cs="Times New Roman"/>
      <w:sz w:val="28"/>
      <w:szCs w:val="28"/>
    </w:rPr>
  </w:style>
  <w:style w:type="character" w:customStyle="1" w:styleId="19">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0">
    <w:name w:val="font11"/>
    <w:basedOn w:val="16"/>
    <w:autoRedefine/>
    <w:qFormat/>
    <w:uiPriority w:val="0"/>
    <w:rPr>
      <w:rFonts w:hint="eastAsia" w:ascii="宋体" w:hAnsi="宋体" w:eastAsia="宋体" w:cs="宋体"/>
      <w:color w:val="000000"/>
      <w:sz w:val="24"/>
      <w:szCs w:val="24"/>
      <w:u w:val="none"/>
    </w:rPr>
  </w:style>
  <w:style w:type="character" w:customStyle="1" w:styleId="21">
    <w:name w:val="font31"/>
    <w:basedOn w:val="16"/>
    <w:autoRedefine/>
    <w:qFormat/>
    <w:uiPriority w:val="0"/>
    <w:rPr>
      <w:rFonts w:hint="eastAsia" w:ascii="宋体" w:hAnsi="宋体" w:eastAsia="宋体" w:cs="宋体"/>
      <w:color w:val="000000"/>
      <w:sz w:val="21"/>
      <w:szCs w:val="21"/>
      <w:u w:val="none"/>
    </w:rPr>
  </w:style>
  <w:style w:type="paragraph" w:customStyle="1" w:styleId="22">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3">
    <w:name w:val="font41"/>
    <w:basedOn w:val="16"/>
    <w:autoRedefine/>
    <w:qFormat/>
    <w:uiPriority w:val="0"/>
    <w:rPr>
      <w:rFonts w:ascii="Calibri" w:hAnsi="Calibri" w:cs="Calibri"/>
      <w:color w:val="000000"/>
      <w:sz w:val="28"/>
      <w:szCs w:val="28"/>
      <w:u w:val="none"/>
    </w:rPr>
  </w:style>
  <w:style w:type="character" w:customStyle="1" w:styleId="24">
    <w:name w:val="font21"/>
    <w:basedOn w:val="16"/>
    <w:autoRedefine/>
    <w:qFormat/>
    <w:uiPriority w:val="0"/>
    <w:rPr>
      <w:rFonts w:hint="eastAsia" w:ascii="宋体" w:hAnsi="宋体" w:eastAsia="宋体" w:cs="宋体"/>
      <w:color w:val="000000"/>
      <w:sz w:val="21"/>
      <w:szCs w:val="21"/>
      <w:u w:val="none"/>
    </w:rPr>
  </w:style>
  <w:style w:type="table" w:customStyle="1" w:styleId="25">
    <w:name w:val="网格型1"/>
    <w:basedOn w:val="26"/>
    <w:qFormat/>
    <w:uiPriority w:val="0"/>
    <w:pPr>
      <w:widowControl w:val="0"/>
      <w:jc w:val="both"/>
    </w:pPr>
  </w:style>
  <w:style w:type="table" w:customStyle="1" w:styleId="26">
    <w:name w:val="普通表格1"/>
    <w:semiHidden/>
    <w:qFormat/>
    <w:uiPriority w:val="0"/>
  </w:style>
  <w:style w:type="paragraph" w:customStyle="1" w:styleId="27">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8">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9">
    <w:name w:val="列出段落1"/>
    <w:basedOn w:val="1"/>
    <w:qFormat/>
    <w:uiPriority w:val="34"/>
    <w:pPr>
      <w:ind w:firstLine="420" w:firstLineChars="200"/>
    </w:pPr>
    <w:rPr>
      <w:rFonts w:ascii="Times New Roman" w:hAnsi="Times New Roman" w:eastAsia="宋体" w:cs="Times New Roman"/>
      <w:sz w:val="28"/>
      <w:szCs w:val="21"/>
    </w:rPr>
  </w:style>
  <w:style w:type="paragraph" w:customStyle="1" w:styleId="30">
    <w:name w:val="正文_4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1">
    <w:name w:val="15_1"/>
    <w:basedOn w:val="16"/>
    <w:qFormat/>
    <w:uiPriority w:val="0"/>
    <w:rPr>
      <w:rFonts w:hint="default" w:ascii="Times New Roman" w:hAnsi="Times New Roman" w:eastAsia="Times New Roman" w:cs="Times New Roman"/>
    </w:rPr>
  </w:style>
  <w:style w:type="paragraph" w:customStyle="1" w:styleId="32">
    <w:name w:val="Normal"/>
    <w:qFormat/>
    <w:uiPriority w:val="0"/>
    <w:pPr>
      <w:widowControl w:val="0"/>
      <w:adjustRightInd w:val="0"/>
      <w:spacing w:line="315" w:lineRule="atLeast"/>
      <w:jc w:val="both"/>
      <w:textAlignment w:val="baseline"/>
    </w:pPr>
    <w:rPr>
      <w:rFonts w:ascii="宋体" w:hAnsi="Calibri" w:eastAsia="宋体" w:cs="Times New Roman"/>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29</Pages>
  <Words>5346</Words>
  <Characters>6054</Characters>
  <Lines>0</Lines>
  <Paragraphs>0</Paragraphs>
  <TotalTime>2</TotalTime>
  <ScaleCrop>false</ScaleCrop>
  <LinksUpToDate>false</LinksUpToDate>
  <CharactersWithSpaces>6194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2026-09-04T08:31:54Z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511CD25ADAF44533A4076D10D9D40B04_13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