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3753AF03">
      <w:pPr>
        <w:numPr>
          <w:ilvl w:val="0"/>
          <w:numId w:val="0"/>
        </w:numPr>
        <w:ind w:firstLine="4216" w:firstLineChars="1500"/>
        <w:rPr>
          <w:rFonts w:hint="eastAsia" w:ascii="宋体" w:hAnsi="宋体" w:eastAsia="宋体" w:cs="宋体"/>
          <w:b/>
          <w:bCs/>
          <w:sz w:val="28"/>
          <w:szCs w:val="28"/>
          <w:lang w:val="en-US" w:eastAsia="zh-CN"/>
        </w:rPr>
      </w:pPr>
    </w:p>
    <w:p w14:paraId="2833A373">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东胜部新建医疗综合楼楼道连廊项目</w:t>
      </w: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2026年9月18日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5"/>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2964"/>
        <w:gridCol w:w="1357"/>
        <w:gridCol w:w="1275"/>
        <w:gridCol w:w="1170"/>
        <w:gridCol w:w="1810"/>
      </w:tblGrid>
      <w:tr w14:paraId="22453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718E48B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4321" w:type="dxa"/>
            <w:gridSpan w:val="2"/>
            <w:vAlign w:val="center"/>
          </w:tcPr>
          <w:p w14:paraId="40F9795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75" w:type="dxa"/>
            <w:vAlign w:val="center"/>
          </w:tcPr>
          <w:p w14:paraId="5795075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170" w:type="dxa"/>
            <w:vAlign w:val="center"/>
          </w:tcPr>
          <w:p w14:paraId="2372AC4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810" w:type="dxa"/>
            <w:vAlign w:val="center"/>
          </w:tcPr>
          <w:p w14:paraId="6E5C33D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10CB0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16109F6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4321" w:type="dxa"/>
            <w:gridSpan w:val="2"/>
            <w:vAlign w:val="center"/>
          </w:tcPr>
          <w:p w14:paraId="1576A3B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sz w:val="28"/>
                <w:szCs w:val="28"/>
                <w:lang w:eastAsia="zh-CN"/>
              </w:rPr>
              <w:t>东胜部新建医疗综合楼楼道连廊项目</w:t>
            </w:r>
          </w:p>
        </w:tc>
        <w:tc>
          <w:tcPr>
            <w:tcW w:w="1275" w:type="dxa"/>
            <w:vAlign w:val="center"/>
          </w:tcPr>
          <w:p w14:paraId="2646A72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1170" w:type="dxa"/>
            <w:vAlign w:val="center"/>
          </w:tcPr>
          <w:p w14:paraId="53599B5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810" w:type="dxa"/>
            <w:vAlign w:val="center"/>
          </w:tcPr>
          <w:p w14:paraId="1C6F7C71">
            <w:pPr>
              <w:widowControl/>
              <w:jc w:val="center"/>
              <w:textAlignment w:val="center"/>
              <w:rPr>
                <w:rFonts w:hint="default" w:ascii="宋体" w:hAnsi="宋体" w:eastAsia="宋体" w:cs="宋体"/>
                <w:kern w:val="0"/>
                <w:sz w:val="28"/>
                <w:szCs w:val="28"/>
                <w:lang w:val="en-US" w:eastAsia="zh-CN"/>
              </w:rPr>
            </w:pPr>
            <w:r>
              <w:rPr>
                <w:rFonts w:hint="eastAsia" w:ascii="仿宋" w:hAnsi="仿宋" w:eastAsia="仿宋" w:cs="仿宋"/>
                <w:b w:val="0"/>
                <w:bCs w:val="0"/>
                <w:kern w:val="0"/>
                <w:sz w:val="32"/>
                <w:szCs w:val="32"/>
                <w:lang w:val="en-US" w:eastAsia="zh-CN"/>
              </w:rPr>
              <w:t>645854.43</w:t>
            </w:r>
          </w:p>
        </w:tc>
      </w:tr>
      <w:tr w14:paraId="6986C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FF4E987">
            <w:pPr>
              <w:widowControl/>
              <w:jc w:val="center"/>
              <w:textAlignment w:val="center"/>
              <w:rPr>
                <w:rFonts w:hint="eastAsia" w:ascii="宋体" w:hAnsi="宋体" w:eastAsia="宋体" w:cs="宋体"/>
                <w:kern w:val="0"/>
                <w:sz w:val="28"/>
                <w:szCs w:val="28"/>
                <w:lang w:val="en-US" w:eastAsia="zh-CN"/>
              </w:rPr>
            </w:pPr>
          </w:p>
        </w:tc>
        <w:tc>
          <w:tcPr>
            <w:tcW w:w="6766" w:type="dxa"/>
            <w:gridSpan w:val="4"/>
            <w:vAlign w:val="center"/>
          </w:tcPr>
          <w:p w14:paraId="44D4F9C6">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1810" w:type="dxa"/>
            <w:vAlign w:val="center"/>
          </w:tcPr>
          <w:p w14:paraId="68148275">
            <w:pPr>
              <w:widowControl/>
              <w:jc w:val="center"/>
              <w:textAlignment w:val="center"/>
              <w:rPr>
                <w:rFonts w:hint="default" w:ascii="宋体" w:hAnsi="宋体" w:eastAsia="宋体" w:cs="宋体"/>
                <w:kern w:val="0"/>
                <w:sz w:val="28"/>
                <w:szCs w:val="28"/>
                <w:lang w:val="en-US" w:eastAsia="zh-CN"/>
              </w:rPr>
            </w:pPr>
            <w:r>
              <w:rPr>
                <w:rFonts w:hint="eastAsia" w:ascii="仿宋" w:hAnsi="仿宋" w:eastAsia="仿宋" w:cs="仿宋"/>
                <w:b w:val="0"/>
                <w:bCs w:val="0"/>
                <w:kern w:val="0"/>
                <w:sz w:val="32"/>
                <w:szCs w:val="32"/>
                <w:lang w:val="en-US" w:eastAsia="zh-CN"/>
              </w:rPr>
              <w:t>645854.43</w:t>
            </w:r>
          </w:p>
        </w:tc>
      </w:tr>
      <w:tr w14:paraId="76C9E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46ED9A2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2964" w:type="dxa"/>
            <w:vAlign w:val="center"/>
          </w:tcPr>
          <w:p w14:paraId="339A0B7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入场时间</w:t>
            </w:r>
          </w:p>
        </w:tc>
        <w:tc>
          <w:tcPr>
            <w:tcW w:w="5612" w:type="dxa"/>
            <w:gridSpan w:val="4"/>
            <w:vAlign w:val="center"/>
          </w:tcPr>
          <w:p w14:paraId="6970432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合同签订后一周内</w:t>
            </w:r>
          </w:p>
        </w:tc>
      </w:tr>
      <w:tr w14:paraId="6A00D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4258A1EC">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2964" w:type="dxa"/>
            <w:vAlign w:val="center"/>
          </w:tcPr>
          <w:p w14:paraId="15F9F29C">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工期</w:t>
            </w:r>
          </w:p>
        </w:tc>
        <w:tc>
          <w:tcPr>
            <w:tcW w:w="5612" w:type="dxa"/>
            <w:gridSpan w:val="4"/>
            <w:vAlign w:val="center"/>
          </w:tcPr>
          <w:p w14:paraId="3DC6A93B">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合同签订后60日内完工</w:t>
            </w:r>
          </w:p>
        </w:tc>
      </w:tr>
      <w:tr w14:paraId="01BE2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3A1ABB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2964" w:type="dxa"/>
            <w:vAlign w:val="center"/>
          </w:tcPr>
          <w:p w14:paraId="6A00CA5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5612" w:type="dxa"/>
            <w:gridSpan w:val="4"/>
            <w:vAlign w:val="center"/>
          </w:tcPr>
          <w:p w14:paraId="3AE946E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2年</w:t>
            </w:r>
          </w:p>
        </w:tc>
      </w:tr>
      <w:tr w14:paraId="0177B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1091" w:type="dxa"/>
            <w:vAlign w:val="center"/>
          </w:tcPr>
          <w:p w14:paraId="0CC07B6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2964" w:type="dxa"/>
            <w:vAlign w:val="center"/>
          </w:tcPr>
          <w:p w14:paraId="085F908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5612" w:type="dxa"/>
            <w:gridSpan w:val="4"/>
            <w:vAlign w:val="center"/>
          </w:tcPr>
          <w:p w14:paraId="78E5699D">
            <w:pPr>
              <w:widowControl/>
              <w:jc w:val="both"/>
              <w:textAlignment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施工完成验收合格后付审计审定金额的95%，剩余5%质保金二年质保期满无质量问题付清</w:t>
            </w:r>
          </w:p>
        </w:tc>
      </w:tr>
      <w:tr w14:paraId="76D3F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710AF53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2964" w:type="dxa"/>
            <w:vAlign w:val="center"/>
          </w:tcPr>
          <w:p w14:paraId="6F21A92E">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5612" w:type="dxa"/>
            <w:gridSpan w:val="4"/>
            <w:vAlign w:val="center"/>
          </w:tcPr>
          <w:p w14:paraId="333F3D55">
            <w:pPr>
              <w:pStyle w:val="7"/>
              <w:numPr>
                <w:ilvl w:val="0"/>
                <w:numId w:val="0"/>
              </w:numPr>
              <w:tabs>
                <w:tab w:val="left" w:pos="639"/>
              </w:tabs>
              <w:spacing w:line="240" w:lineRule="auto"/>
              <w:jc w:val="left"/>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bidi="ar-SA"/>
              </w:rPr>
              <w:t>投标人具备有效的建筑工程施工总承包乙级（原三级）及以上资质。</w:t>
            </w:r>
          </w:p>
        </w:tc>
      </w:tr>
    </w:tbl>
    <w:p w14:paraId="6E4C0A80">
      <w:pPr>
        <w:rPr>
          <w:rFonts w:hint="eastAsia" w:hAnsi="宋体"/>
          <w:sz w:val="24"/>
          <w:szCs w:val="24"/>
          <w:lang w:val="en-US" w:eastAsia="zh-CN"/>
        </w:rPr>
      </w:pPr>
      <w:r>
        <w:rPr>
          <w:rFonts w:hint="eastAsia" w:hAnsi="宋体"/>
          <w:sz w:val="24"/>
          <w:szCs w:val="24"/>
          <w:lang w:val="en-US" w:eastAsia="zh-CN"/>
        </w:rPr>
        <w:t xml:space="preserve">  </w:t>
      </w: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62BFB0F3">
      <w:pPr>
        <w:keepNext w:val="0"/>
        <w:keepLines w:val="0"/>
        <w:widowControl/>
        <w:numPr>
          <w:ilvl w:val="0"/>
          <w:numId w:val="3"/>
        </w:numPr>
        <w:suppressLineNumbers w:val="0"/>
        <w:ind w:firstLine="640" w:firstLineChars="200"/>
        <w:jc w:val="left"/>
        <w:rPr>
          <w:rFonts w:hint="eastAsia" w:ascii="仿宋" w:hAnsi="仿宋" w:eastAsia="仿宋" w:cs="仿宋"/>
          <w:color w:val="000000"/>
          <w:kern w:val="2"/>
          <w:sz w:val="32"/>
          <w:szCs w:val="32"/>
          <w:u w:val="single"/>
          <w:lang w:val="en-US" w:eastAsia="zh-CN" w:bidi="ar-SA"/>
        </w:rPr>
      </w:pPr>
      <w:r>
        <w:rPr>
          <w:rFonts w:hint="eastAsia" w:ascii="仿宋" w:hAnsi="仿宋" w:eastAsia="仿宋" w:cs="仿宋"/>
          <w:color w:val="000000"/>
          <w:sz w:val="32"/>
          <w:szCs w:val="32"/>
        </w:rPr>
        <w:t>项目基本情况介绍：</w:t>
      </w:r>
      <w:r>
        <w:rPr>
          <w:rFonts w:hint="eastAsia" w:ascii="仿宋" w:hAnsi="仿宋" w:eastAsia="仿宋" w:cs="仿宋"/>
          <w:color w:val="000000"/>
          <w:sz w:val="32"/>
          <w:szCs w:val="32"/>
          <w:u w:val="single"/>
        </w:rPr>
        <w:t xml:space="preserve">  </w:t>
      </w:r>
      <w:r>
        <w:rPr>
          <w:rFonts w:hint="eastAsia" w:ascii="仿宋" w:hAnsi="仿宋" w:eastAsia="仿宋" w:cs="仿宋"/>
          <w:color w:val="000000"/>
          <w:kern w:val="2"/>
          <w:sz w:val="32"/>
          <w:szCs w:val="32"/>
          <w:u w:val="single"/>
          <w:lang w:val="en-US" w:eastAsia="zh-CN" w:bidi="ar-SA"/>
        </w:rPr>
        <w:t>东胜部医疗综合楼停机坪至绿色通道电梯之间现在为露天通道，拟新建连廊，保障转运畅通</w:t>
      </w:r>
    </w:p>
    <w:p w14:paraId="40944F53">
      <w:pPr>
        <w:keepNext w:val="0"/>
        <w:keepLines w:val="0"/>
        <w:widowControl/>
        <w:numPr>
          <w:ilvl w:val="0"/>
          <w:numId w:val="0"/>
        </w:numPr>
        <w:suppressLineNumbers w:val="0"/>
        <w:jc w:val="left"/>
        <w:rPr>
          <w:rFonts w:hint="default" w:ascii="仿宋" w:hAnsi="仿宋" w:eastAsia="仿宋" w:cs="仿宋"/>
          <w:color w:val="000000"/>
          <w:kern w:val="2"/>
          <w:sz w:val="32"/>
          <w:szCs w:val="32"/>
          <w:u w:val="single"/>
          <w:lang w:val="en-US" w:eastAsia="zh-CN" w:bidi="ar-SA"/>
        </w:rPr>
      </w:pPr>
    </w:p>
    <w:p w14:paraId="645380D9">
      <w:pPr>
        <w:keepNext w:val="0"/>
        <w:keepLines w:val="0"/>
        <w:widowControl/>
        <w:numPr>
          <w:ilvl w:val="0"/>
          <w:numId w:val="0"/>
        </w:numPr>
        <w:suppressLineNumbers w:val="0"/>
        <w:jc w:val="left"/>
        <w:rPr>
          <w:rFonts w:hint="default" w:ascii="仿宋" w:hAnsi="仿宋" w:eastAsia="仿宋" w:cs="仿宋"/>
          <w:color w:val="000000"/>
          <w:kern w:val="2"/>
          <w:sz w:val="32"/>
          <w:szCs w:val="32"/>
          <w:u w:val="single"/>
          <w:lang w:val="en-US" w:eastAsia="zh-CN" w:bidi="ar-SA"/>
        </w:rPr>
      </w:pPr>
    </w:p>
    <w:p w14:paraId="5425C9F9">
      <w:pPr>
        <w:spacing w:line="360" w:lineRule="auto"/>
        <w:jc w:val="left"/>
        <w:rPr>
          <w:rFonts w:hint="eastAsia" w:ascii="仿宋" w:hAnsi="仿宋" w:eastAsia="仿宋" w:cs="仿宋"/>
          <w:color w:val="000000"/>
          <w:sz w:val="32"/>
          <w:szCs w:val="32"/>
        </w:rPr>
      </w:pPr>
    </w:p>
    <w:p w14:paraId="4C51D43F">
      <w:pPr>
        <w:spacing w:line="360" w:lineRule="auto"/>
        <w:jc w:val="left"/>
        <w:rPr>
          <w:rFonts w:hint="eastAsia" w:ascii="仿宋" w:hAnsi="仿宋" w:eastAsia="仿宋" w:cs="仿宋"/>
          <w:color w:val="000000"/>
          <w:sz w:val="32"/>
          <w:szCs w:val="32"/>
        </w:rPr>
      </w:pPr>
      <w:r>
        <w:rPr>
          <w:rFonts w:hint="eastAsia" w:ascii="仿宋" w:hAnsi="仿宋" w:eastAsia="仿宋" w:cs="仿宋"/>
          <w:color w:val="000000"/>
          <w:sz w:val="32"/>
          <w:szCs w:val="32"/>
        </w:rPr>
        <w:t>（二）技术参数和要求（功能和质量）</w:t>
      </w:r>
    </w:p>
    <w:tbl>
      <w:tblPr>
        <w:tblStyle w:val="14"/>
        <w:tblW w:w="9738" w:type="dxa"/>
        <w:jc w:val="center"/>
        <w:tblLayout w:type="fixed"/>
        <w:tblCellMar>
          <w:top w:w="0" w:type="dxa"/>
          <w:left w:w="108" w:type="dxa"/>
          <w:bottom w:w="0" w:type="dxa"/>
          <w:right w:w="108" w:type="dxa"/>
        </w:tblCellMar>
      </w:tblPr>
      <w:tblGrid>
        <w:gridCol w:w="1543"/>
        <w:gridCol w:w="1125"/>
        <w:gridCol w:w="7070"/>
      </w:tblGrid>
      <w:tr w14:paraId="7E759BFE">
        <w:tblPrEx>
          <w:tblCellMar>
            <w:top w:w="0" w:type="dxa"/>
            <w:left w:w="108" w:type="dxa"/>
            <w:bottom w:w="0" w:type="dxa"/>
            <w:right w:w="108" w:type="dxa"/>
          </w:tblCellMar>
        </w:tblPrEx>
        <w:trPr>
          <w:trHeight w:val="58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4062AC71">
            <w:pPr>
              <w:widowControl/>
              <w:jc w:val="center"/>
              <w:rPr>
                <w:rFonts w:ascii="宋体" w:hAnsi="宋体" w:eastAsia="宋体" w:cs="宋体"/>
                <w:sz w:val="32"/>
                <w:szCs w:val="32"/>
              </w:rPr>
            </w:pPr>
            <w:r>
              <w:rPr>
                <w:rFonts w:hint="eastAsia" w:ascii="宋体" w:hAnsi="宋体" w:eastAsia="宋体" w:cs="宋体"/>
                <w:sz w:val="32"/>
                <w:szCs w:val="32"/>
              </w:rPr>
              <w:t>参数性质</w:t>
            </w:r>
          </w:p>
        </w:tc>
        <w:tc>
          <w:tcPr>
            <w:tcW w:w="1125" w:type="dxa"/>
            <w:tcBorders>
              <w:top w:val="single" w:color="auto" w:sz="4" w:space="0"/>
              <w:left w:val="nil"/>
              <w:bottom w:val="single" w:color="auto" w:sz="4" w:space="0"/>
              <w:right w:val="single" w:color="auto" w:sz="4" w:space="0"/>
            </w:tcBorders>
            <w:vAlign w:val="center"/>
          </w:tcPr>
          <w:p w14:paraId="247E3B3A">
            <w:pPr>
              <w:widowControl/>
              <w:jc w:val="center"/>
              <w:rPr>
                <w:rFonts w:ascii="宋体" w:hAnsi="宋体" w:eastAsia="宋体" w:cs="宋体"/>
                <w:sz w:val="32"/>
                <w:szCs w:val="32"/>
              </w:rPr>
            </w:pPr>
            <w:r>
              <w:rPr>
                <w:rFonts w:hint="eastAsia" w:ascii="宋体" w:hAnsi="宋体" w:eastAsia="宋体" w:cs="宋体"/>
                <w:sz w:val="32"/>
                <w:szCs w:val="32"/>
              </w:rPr>
              <w:t>编号</w:t>
            </w:r>
          </w:p>
        </w:tc>
        <w:tc>
          <w:tcPr>
            <w:tcW w:w="7070" w:type="dxa"/>
            <w:tcBorders>
              <w:top w:val="single" w:color="auto" w:sz="4" w:space="0"/>
              <w:left w:val="nil"/>
              <w:bottom w:val="single" w:color="auto" w:sz="4" w:space="0"/>
              <w:right w:val="single" w:color="auto" w:sz="4" w:space="0"/>
            </w:tcBorders>
            <w:vAlign w:val="center"/>
          </w:tcPr>
          <w:p w14:paraId="19B2E130">
            <w:pPr>
              <w:widowControl/>
              <w:jc w:val="center"/>
              <w:rPr>
                <w:rFonts w:ascii="宋体" w:hAnsi="宋体" w:eastAsia="宋体" w:cs="宋体"/>
                <w:sz w:val="32"/>
                <w:szCs w:val="32"/>
              </w:rPr>
            </w:pPr>
            <w:r>
              <w:rPr>
                <w:rFonts w:hint="eastAsia" w:ascii="宋体" w:hAnsi="宋体" w:eastAsia="宋体" w:cs="宋体"/>
                <w:sz w:val="32"/>
                <w:szCs w:val="32"/>
              </w:rPr>
              <w:t>技术参数和要求</w:t>
            </w:r>
          </w:p>
        </w:tc>
      </w:tr>
      <w:tr w14:paraId="5A655205">
        <w:tblPrEx>
          <w:tblCellMar>
            <w:top w:w="0" w:type="dxa"/>
            <w:left w:w="108" w:type="dxa"/>
            <w:bottom w:w="0" w:type="dxa"/>
            <w:right w:w="108" w:type="dxa"/>
          </w:tblCellMar>
        </w:tblPrEx>
        <w:trPr>
          <w:trHeight w:val="585" w:hRule="atLeast"/>
          <w:jc w:val="center"/>
        </w:trPr>
        <w:tc>
          <w:tcPr>
            <w:tcW w:w="9738" w:type="dxa"/>
            <w:gridSpan w:val="3"/>
            <w:tcBorders>
              <w:top w:val="single" w:color="auto" w:sz="4" w:space="0"/>
              <w:left w:val="single" w:color="auto" w:sz="4" w:space="0"/>
              <w:bottom w:val="single" w:color="auto" w:sz="4" w:space="0"/>
              <w:right w:val="single" w:color="auto" w:sz="4" w:space="0"/>
            </w:tcBorders>
            <w:vAlign w:val="center"/>
          </w:tcPr>
          <w:p w14:paraId="14C718A8">
            <w:pPr>
              <w:widowControl/>
              <w:jc w:val="center"/>
              <w:rPr>
                <w:rFonts w:hint="eastAsia" w:ascii="宋体" w:hAnsi="宋体" w:eastAsia="宋体" w:cs="宋体"/>
                <w:sz w:val="32"/>
                <w:szCs w:val="32"/>
              </w:rPr>
            </w:pPr>
            <w:r>
              <w:rPr>
                <w:rFonts w:hint="eastAsia" w:ascii="宋体" w:hAnsi="宋体" w:eastAsia="宋体" w:cs="宋体"/>
                <w:sz w:val="32"/>
                <w:szCs w:val="32"/>
              </w:rPr>
              <w:t>施工要求</w:t>
            </w:r>
          </w:p>
        </w:tc>
      </w:tr>
      <w:tr w14:paraId="3766A3F1">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62CD05F4">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5095C250">
            <w:pPr>
              <w:widowControl/>
              <w:jc w:val="center"/>
              <w:rPr>
                <w:rFonts w:hint="eastAsia" w:ascii="宋体" w:hAnsi="宋体" w:eastAsia="宋体" w:cs="宋体"/>
                <w:sz w:val="28"/>
                <w:szCs w:val="28"/>
              </w:rPr>
            </w:pPr>
            <w:r>
              <w:rPr>
                <w:rFonts w:hint="eastAsia" w:ascii="宋体" w:hAnsi="宋体" w:eastAsia="宋体" w:cs="宋体"/>
                <w:sz w:val="28"/>
                <w:szCs w:val="28"/>
              </w:rPr>
              <w:t>1</w:t>
            </w:r>
          </w:p>
        </w:tc>
        <w:tc>
          <w:tcPr>
            <w:tcW w:w="7070" w:type="dxa"/>
            <w:tcBorders>
              <w:top w:val="single" w:color="auto" w:sz="4" w:space="0"/>
              <w:left w:val="nil"/>
              <w:bottom w:val="single" w:color="auto" w:sz="4" w:space="0"/>
              <w:right w:val="single" w:color="auto" w:sz="4" w:space="0"/>
            </w:tcBorders>
            <w:vAlign w:val="center"/>
          </w:tcPr>
          <w:p w14:paraId="28EEE591">
            <w:pPr>
              <w:widowControl/>
              <w:jc w:val="left"/>
              <w:rPr>
                <w:rFonts w:hint="eastAsia" w:ascii="宋体" w:hAnsi="宋体" w:eastAsia="宋体" w:cs="宋体"/>
                <w:sz w:val="28"/>
                <w:szCs w:val="28"/>
                <w:lang w:eastAsia="zh-CN"/>
              </w:rPr>
            </w:pPr>
            <w:r>
              <w:rPr>
                <w:rFonts w:hint="eastAsia" w:ascii="宋体" w:hAnsi="宋体" w:eastAsia="宋体" w:cs="宋体"/>
                <w:sz w:val="28"/>
                <w:szCs w:val="28"/>
              </w:rPr>
              <w:t>本工程严格按施工图纸、现行规范及现场现状组织施工</w:t>
            </w:r>
            <w:r>
              <w:rPr>
                <w:rFonts w:hint="eastAsia" w:ascii="宋体" w:hAnsi="宋体" w:eastAsia="宋体" w:cs="宋体"/>
                <w:sz w:val="28"/>
                <w:szCs w:val="28"/>
                <w:lang w:eastAsia="zh-CN"/>
              </w:rPr>
              <w:t>。</w:t>
            </w:r>
          </w:p>
        </w:tc>
      </w:tr>
      <w:tr w14:paraId="4387962C">
        <w:tblPrEx>
          <w:tblCellMar>
            <w:top w:w="0" w:type="dxa"/>
            <w:left w:w="108" w:type="dxa"/>
            <w:bottom w:w="0" w:type="dxa"/>
            <w:right w:w="108" w:type="dxa"/>
          </w:tblCellMar>
        </w:tblPrEx>
        <w:trPr>
          <w:trHeight w:val="173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77AC2971">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22BECC8A">
            <w:pPr>
              <w:widowControl/>
              <w:jc w:val="center"/>
              <w:rPr>
                <w:rFonts w:hint="eastAsia" w:ascii="宋体" w:hAnsi="宋体" w:eastAsia="宋体" w:cs="宋体"/>
                <w:sz w:val="28"/>
                <w:szCs w:val="28"/>
              </w:rPr>
            </w:pPr>
            <w:r>
              <w:rPr>
                <w:rFonts w:hint="eastAsia" w:ascii="宋体" w:hAnsi="宋体" w:eastAsia="宋体" w:cs="宋体"/>
                <w:sz w:val="28"/>
                <w:szCs w:val="28"/>
              </w:rPr>
              <w:t>2</w:t>
            </w:r>
          </w:p>
        </w:tc>
        <w:tc>
          <w:tcPr>
            <w:tcW w:w="7070" w:type="dxa"/>
            <w:tcBorders>
              <w:top w:val="single" w:color="auto" w:sz="4" w:space="0"/>
              <w:left w:val="nil"/>
              <w:bottom w:val="single" w:color="auto" w:sz="4" w:space="0"/>
              <w:right w:val="single" w:color="auto" w:sz="4" w:space="0"/>
            </w:tcBorders>
            <w:vAlign w:val="center"/>
          </w:tcPr>
          <w:p w14:paraId="301F5519">
            <w:pPr>
              <w:tabs>
                <w:tab w:val="left" w:pos="1193"/>
              </w:tabs>
              <w:jc w:val="left"/>
              <w:rPr>
                <w:rFonts w:hint="eastAsia" w:ascii="宋体" w:hAnsi="宋体" w:eastAsia="宋体" w:cs="宋体"/>
                <w:sz w:val="28"/>
                <w:szCs w:val="28"/>
                <w:lang w:eastAsia="zh-CN"/>
              </w:rPr>
            </w:pPr>
            <w:r>
              <w:rPr>
                <w:rFonts w:hint="eastAsia" w:ascii="宋体" w:hAnsi="宋体" w:eastAsia="宋体" w:cs="宋体"/>
                <w:sz w:val="28"/>
                <w:szCs w:val="28"/>
                <w:lang w:eastAsia="zh-CN"/>
              </w:rPr>
              <w:t>施工全过程必须保障医院急救通道、消防通道、门诊人行通道24小时畅通，不得封闭、占用主通行路线，不得影响正常诊疗、急救转运工作。</w:t>
            </w:r>
          </w:p>
        </w:tc>
      </w:tr>
      <w:tr w14:paraId="013FD3B5">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7770DEE2">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402381C2">
            <w:pPr>
              <w:widowControl/>
              <w:jc w:val="center"/>
              <w:rPr>
                <w:rFonts w:hint="eastAsia" w:ascii="宋体" w:hAnsi="宋体" w:eastAsia="宋体" w:cs="宋体"/>
                <w:sz w:val="28"/>
                <w:szCs w:val="28"/>
              </w:rPr>
            </w:pPr>
            <w:r>
              <w:rPr>
                <w:rFonts w:hint="eastAsia" w:ascii="宋体" w:hAnsi="宋体" w:eastAsia="宋体" w:cs="宋体"/>
                <w:sz w:val="28"/>
                <w:szCs w:val="28"/>
              </w:rPr>
              <w:t>3</w:t>
            </w:r>
          </w:p>
        </w:tc>
        <w:tc>
          <w:tcPr>
            <w:tcW w:w="7070" w:type="dxa"/>
            <w:tcBorders>
              <w:top w:val="single" w:color="auto" w:sz="4" w:space="0"/>
              <w:left w:val="nil"/>
              <w:bottom w:val="single" w:color="auto" w:sz="4" w:space="0"/>
              <w:right w:val="single" w:color="auto" w:sz="4" w:space="0"/>
            </w:tcBorders>
            <w:vAlign w:val="center"/>
          </w:tcPr>
          <w:p w14:paraId="1CA506D8">
            <w:pPr>
              <w:jc w:val="left"/>
              <w:rPr>
                <w:rFonts w:hint="eastAsia" w:ascii="宋体" w:hAnsi="宋体" w:eastAsia="宋体" w:cs="宋体"/>
                <w:sz w:val="28"/>
                <w:szCs w:val="28"/>
              </w:rPr>
            </w:pPr>
            <w:r>
              <w:rPr>
                <w:rFonts w:hint="eastAsia" w:ascii="宋体" w:hAnsi="宋体" w:eastAsia="宋体" w:cs="宋体"/>
                <w:sz w:val="28"/>
                <w:szCs w:val="28"/>
              </w:rPr>
              <w:t>施工不得破坏原有建筑主体结构、承重构件；拆改墙体必须经原设计或第三方结构复核确认。</w:t>
            </w:r>
          </w:p>
        </w:tc>
      </w:tr>
      <w:tr w14:paraId="23C3FE3C">
        <w:tblPrEx>
          <w:tblCellMar>
            <w:top w:w="0" w:type="dxa"/>
            <w:left w:w="108" w:type="dxa"/>
            <w:bottom w:w="0" w:type="dxa"/>
            <w:right w:w="108" w:type="dxa"/>
          </w:tblCellMar>
        </w:tblPrEx>
        <w:trPr>
          <w:trHeight w:val="173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5FBD5FAB">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71A4B872">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p>
        </w:tc>
        <w:tc>
          <w:tcPr>
            <w:tcW w:w="7070" w:type="dxa"/>
            <w:tcBorders>
              <w:top w:val="single" w:color="auto" w:sz="4" w:space="0"/>
              <w:left w:val="nil"/>
              <w:bottom w:val="single" w:color="auto" w:sz="4" w:space="0"/>
              <w:right w:val="single" w:color="auto" w:sz="4" w:space="0"/>
            </w:tcBorders>
            <w:vAlign w:val="center"/>
          </w:tcPr>
          <w:p w14:paraId="38873E11">
            <w:pPr>
              <w:jc w:val="left"/>
              <w:rPr>
                <w:rFonts w:hint="eastAsia" w:ascii="宋体" w:hAnsi="宋体" w:eastAsia="宋体" w:cs="宋体"/>
                <w:sz w:val="28"/>
                <w:szCs w:val="28"/>
              </w:rPr>
            </w:pPr>
            <w:r>
              <w:rPr>
                <w:rFonts w:hint="eastAsia" w:ascii="宋体" w:hAnsi="宋体" w:eastAsia="宋体" w:cs="宋体"/>
                <w:sz w:val="28"/>
                <w:szCs w:val="28"/>
              </w:rPr>
              <w:t>进场所有原材料、构配件、成品材料必须具备合格证</w:t>
            </w:r>
            <w:r>
              <w:rPr>
                <w:rFonts w:hint="eastAsia" w:ascii="宋体" w:hAnsi="宋体" w:eastAsia="宋体" w:cs="宋体"/>
                <w:sz w:val="28"/>
                <w:szCs w:val="28"/>
                <w:lang w:val="en-US" w:eastAsia="zh-CN"/>
              </w:rPr>
              <w:t>或</w:t>
            </w:r>
            <w:r>
              <w:rPr>
                <w:rFonts w:hint="eastAsia" w:ascii="宋体" w:hAnsi="宋体" w:eastAsia="宋体" w:cs="宋体"/>
                <w:sz w:val="28"/>
                <w:szCs w:val="28"/>
              </w:rPr>
              <w:t>质量证明文件，进场报验合格后方可使用，严禁不合格材料、三无材料进场。</w:t>
            </w:r>
          </w:p>
        </w:tc>
      </w:tr>
      <w:tr w14:paraId="065580E6">
        <w:tblPrEx>
          <w:tblCellMar>
            <w:top w:w="0" w:type="dxa"/>
            <w:left w:w="108" w:type="dxa"/>
            <w:bottom w:w="0" w:type="dxa"/>
            <w:right w:w="108" w:type="dxa"/>
          </w:tblCellMar>
        </w:tblPrEx>
        <w:trPr>
          <w:trHeight w:val="173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1741DBFF">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17BDF9A7">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w:t>
            </w:r>
          </w:p>
        </w:tc>
        <w:tc>
          <w:tcPr>
            <w:tcW w:w="7070" w:type="dxa"/>
            <w:tcBorders>
              <w:top w:val="single" w:color="auto" w:sz="4" w:space="0"/>
              <w:left w:val="nil"/>
              <w:bottom w:val="single" w:color="auto" w:sz="4" w:space="0"/>
              <w:right w:val="single" w:color="auto" w:sz="4" w:space="0"/>
            </w:tcBorders>
            <w:vAlign w:val="center"/>
          </w:tcPr>
          <w:p w14:paraId="2F7C721E">
            <w:pPr>
              <w:jc w:val="left"/>
              <w:rPr>
                <w:rFonts w:hint="eastAsia" w:ascii="宋体" w:hAnsi="宋体" w:eastAsia="宋体" w:cs="宋体"/>
                <w:sz w:val="28"/>
                <w:szCs w:val="28"/>
                <w:lang w:eastAsia="zh-CN"/>
              </w:rPr>
            </w:pPr>
            <w:r>
              <w:rPr>
                <w:rFonts w:hint="eastAsia" w:ascii="宋体" w:hAnsi="宋体" w:eastAsia="宋体" w:cs="宋体"/>
                <w:sz w:val="28"/>
                <w:szCs w:val="28"/>
              </w:rPr>
              <w:t>施工期间采取封闭式围挡、降尘、降噪措施，合理排布施工时序，避开门诊就诊高峰时段，严控夜间高噪音作业，最大限度减少施工扬尘、噪音对病患及院区环境影响。</w:t>
            </w:r>
          </w:p>
        </w:tc>
      </w:tr>
      <w:tr w14:paraId="2750428B">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31F65F43">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2FEB9B32">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w:t>
            </w:r>
          </w:p>
        </w:tc>
        <w:tc>
          <w:tcPr>
            <w:tcW w:w="7070" w:type="dxa"/>
            <w:tcBorders>
              <w:top w:val="single" w:color="auto" w:sz="4" w:space="0"/>
              <w:left w:val="nil"/>
              <w:bottom w:val="single" w:color="auto" w:sz="4" w:space="0"/>
              <w:right w:val="single" w:color="auto" w:sz="4" w:space="0"/>
            </w:tcBorders>
            <w:vAlign w:val="center"/>
          </w:tcPr>
          <w:p w14:paraId="38006583">
            <w:pPr>
              <w:jc w:val="left"/>
              <w:rPr>
                <w:rFonts w:hint="eastAsia" w:ascii="宋体" w:hAnsi="宋体" w:eastAsia="宋体" w:cs="宋体"/>
                <w:sz w:val="28"/>
                <w:szCs w:val="28"/>
              </w:rPr>
            </w:pPr>
            <w:r>
              <w:rPr>
                <w:rFonts w:hint="eastAsia" w:ascii="宋体" w:hAnsi="宋体" w:eastAsia="宋体" w:cs="宋体"/>
                <w:sz w:val="28"/>
                <w:szCs w:val="28"/>
              </w:rPr>
              <w:t>严禁随意关停医院强电、弱电、给排水、医疗气体、消防系统；涉及管线接驳、停水停电，必须提前多部门审批，安排在夜间/非门诊时间实施。</w:t>
            </w:r>
          </w:p>
        </w:tc>
      </w:tr>
      <w:tr w14:paraId="19DDFD6F">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1BF27804">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5628113E">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w:t>
            </w:r>
          </w:p>
        </w:tc>
        <w:tc>
          <w:tcPr>
            <w:tcW w:w="7070" w:type="dxa"/>
            <w:tcBorders>
              <w:top w:val="single" w:color="auto" w:sz="4" w:space="0"/>
              <w:left w:val="nil"/>
              <w:bottom w:val="single" w:color="auto" w:sz="4" w:space="0"/>
              <w:right w:val="single" w:color="auto" w:sz="4" w:space="0"/>
            </w:tcBorders>
            <w:vAlign w:val="center"/>
          </w:tcPr>
          <w:p w14:paraId="7306B6FD">
            <w:pPr>
              <w:jc w:val="left"/>
              <w:rPr>
                <w:rFonts w:hint="eastAsia" w:ascii="宋体" w:hAnsi="宋体" w:eastAsia="宋体" w:cs="宋体"/>
                <w:sz w:val="28"/>
                <w:szCs w:val="28"/>
                <w:lang w:eastAsia="zh-CN"/>
              </w:rPr>
            </w:pPr>
            <w:r>
              <w:rPr>
                <w:rFonts w:hint="eastAsia" w:ascii="宋体" w:hAnsi="宋体" w:eastAsia="宋体" w:cs="宋体"/>
                <w:sz w:val="28"/>
                <w:szCs w:val="28"/>
              </w:rPr>
              <w:t>施工期间定期对围挡周边公共区域清洁消毒；如发生粉尘外泄，立即停工整改。</w:t>
            </w:r>
          </w:p>
        </w:tc>
      </w:tr>
      <w:tr w14:paraId="477BF4B1">
        <w:tblPrEx>
          <w:tblCellMar>
            <w:top w:w="0" w:type="dxa"/>
            <w:left w:w="108" w:type="dxa"/>
            <w:bottom w:w="0" w:type="dxa"/>
            <w:right w:w="108" w:type="dxa"/>
          </w:tblCellMar>
        </w:tblPrEx>
        <w:trPr>
          <w:trHeight w:val="1278"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4D8B99D3">
            <w:pPr>
              <w:widowControl/>
              <w:jc w:val="center"/>
              <w:rPr>
                <w:rFonts w:hint="eastAsia" w:ascii="宋体" w:hAnsi="宋体" w:eastAsia="宋体" w:cs="宋体"/>
                <w:sz w:val="28"/>
                <w:szCs w:val="28"/>
                <w:lang w:eastAsia="zh-CN"/>
              </w:rPr>
            </w:pPr>
          </w:p>
        </w:tc>
        <w:tc>
          <w:tcPr>
            <w:tcW w:w="1125" w:type="dxa"/>
            <w:tcBorders>
              <w:top w:val="single" w:color="auto" w:sz="4" w:space="0"/>
              <w:left w:val="nil"/>
              <w:bottom w:val="single" w:color="auto" w:sz="4" w:space="0"/>
              <w:right w:val="single" w:color="auto" w:sz="4" w:space="0"/>
            </w:tcBorders>
            <w:vAlign w:val="center"/>
          </w:tcPr>
          <w:p w14:paraId="0965BA9C">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w:t>
            </w:r>
          </w:p>
        </w:tc>
        <w:tc>
          <w:tcPr>
            <w:tcW w:w="7070" w:type="dxa"/>
            <w:tcBorders>
              <w:top w:val="single" w:color="auto" w:sz="4" w:space="0"/>
              <w:left w:val="nil"/>
              <w:bottom w:val="single" w:color="auto" w:sz="4" w:space="0"/>
              <w:right w:val="single" w:color="auto" w:sz="4" w:space="0"/>
            </w:tcBorders>
            <w:vAlign w:val="center"/>
          </w:tcPr>
          <w:p w14:paraId="6CC17162">
            <w:pPr>
              <w:jc w:val="left"/>
              <w:rPr>
                <w:rFonts w:hint="eastAsia" w:ascii="宋体" w:hAnsi="宋体" w:eastAsia="宋体" w:cs="宋体"/>
                <w:sz w:val="28"/>
                <w:szCs w:val="28"/>
                <w:lang w:val="en-US"/>
              </w:rPr>
            </w:pPr>
            <w:r>
              <w:rPr>
                <w:rFonts w:hint="eastAsia" w:ascii="宋体" w:hAnsi="宋体" w:eastAsia="宋体" w:cs="宋体"/>
                <w:sz w:val="28"/>
                <w:szCs w:val="28"/>
              </w:rPr>
              <w:t>施工垃圾袋装密闭，每日及时清运，不得在门诊公共区域堆放；垃圾运输走专用货运通道，避开就诊高峰。</w:t>
            </w:r>
          </w:p>
        </w:tc>
      </w:tr>
      <w:tr w14:paraId="5EA6600E">
        <w:tblPrEx>
          <w:tblCellMar>
            <w:top w:w="0" w:type="dxa"/>
            <w:left w:w="108" w:type="dxa"/>
            <w:bottom w:w="0" w:type="dxa"/>
            <w:right w:w="108" w:type="dxa"/>
          </w:tblCellMar>
        </w:tblPrEx>
        <w:trPr>
          <w:trHeight w:val="1276"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0C27A236">
            <w:pPr>
              <w:widowControl/>
              <w:jc w:val="center"/>
              <w:rPr>
                <w:rFonts w:hint="eastAsia" w:ascii="宋体" w:hAnsi="宋体" w:eastAsia="宋体" w:cs="宋体"/>
                <w:sz w:val="28"/>
                <w:szCs w:val="28"/>
                <w:lang w:eastAsia="zh-CN"/>
              </w:rPr>
            </w:pPr>
          </w:p>
        </w:tc>
        <w:tc>
          <w:tcPr>
            <w:tcW w:w="1125" w:type="dxa"/>
            <w:tcBorders>
              <w:top w:val="single" w:color="auto" w:sz="4" w:space="0"/>
              <w:left w:val="nil"/>
              <w:bottom w:val="single" w:color="auto" w:sz="4" w:space="0"/>
              <w:right w:val="single" w:color="auto" w:sz="4" w:space="0"/>
            </w:tcBorders>
            <w:vAlign w:val="center"/>
          </w:tcPr>
          <w:p w14:paraId="21B9C20C">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9</w:t>
            </w:r>
          </w:p>
        </w:tc>
        <w:tc>
          <w:tcPr>
            <w:tcW w:w="7070" w:type="dxa"/>
            <w:tcBorders>
              <w:top w:val="single" w:color="auto" w:sz="4" w:space="0"/>
              <w:left w:val="nil"/>
              <w:bottom w:val="single" w:color="auto" w:sz="4" w:space="0"/>
              <w:right w:val="single" w:color="auto" w:sz="4" w:space="0"/>
            </w:tcBorders>
            <w:vAlign w:val="center"/>
          </w:tcPr>
          <w:p w14:paraId="5F6A4FF4">
            <w:pPr>
              <w:jc w:val="left"/>
              <w:rPr>
                <w:rFonts w:hint="eastAsia" w:ascii="宋体" w:hAnsi="宋体" w:eastAsia="宋体" w:cs="宋体"/>
                <w:sz w:val="28"/>
                <w:szCs w:val="28"/>
                <w:lang w:eastAsia="zh-CN"/>
              </w:rPr>
            </w:pPr>
            <w:r>
              <w:rPr>
                <w:rFonts w:hint="eastAsia" w:ascii="宋体" w:hAnsi="宋体" w:eastAsia="宋体" w:cs="宋体"/>
                <w:sz w:val="28"/>
                <w:szCs w:val="28"/>
                <w:lang w:eastAsia="zh-CN"/>
              </w:rPr>
              <w:t>工程竣工验收后，须完整移交竣工图纸、材料合格证、影像资料、验收备案全套纸质及电子档案资料。</w:t>
            </w:r>
          </w:p>
        </w:tc>
      </w:tr>
    </w:tbl>
    <w:p w14:paraId="46057292">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97F7F7E">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75E08B3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CD8904B">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3F56CC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447E922">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3EDCC3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164551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A71D7CD">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636064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BD3F84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76C78FFE">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7D00E573">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0983E0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C24E70E">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7F462E7">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41F206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67F6F5B">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4"/>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5D217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6F3F0C6D">
      <w:pPr>
        <w:pStyle w:val="2"/>
        <w:rPr>
          <w:rFonts w:hint="eastAsia"/>
          <w:lang w:val="en-US" w:eastAsia="zh-CN"/>
        </w:rPr>
      </w:pPr>
    </w:p>
    <w:p w14:paraId="20DD8781">
      <w:pPr>
        <w:pStyle w:val="2"/>
        <w:rPr>
          <w:rFonts w:hint="default"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表2 综合评分表</w:t>
      </w:r>
    </w:p>
    <w:tbl>
      <w:tblPr>
        <w:tblStyle w:val="14"/>
        <w:tblW w:w="94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3006"/>
        <w:gridCol w:w="5155"/>
      </w:tblGrid>
      <w:tr w14:paraId="054F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5" w:type="dxa"/>
            <w:noWrap w:val="0"/>
            <w:vAlign w:val="center"/>
          </w:tcPr>
          <w:p w14:paraId="6FD4E6DA">
            <w:pPr>
              <w:keepNext w:val="0"/>
              <w:keepLines w:val="0"/>
              <w:pageBreakBefore w:val="0"/>
              <w:widowControl w:val="0"/>
              <w:wordWrap/>
              <w:topLinePunct w:val="0"/>
              <w:bidi w:val="0"/>
              <w:adjustRightInd w:val="0"/>
              <w:snapToGrid w:val="0"/>
              <w:spacing w:line="360" w:lineRule="exact"/>
              <w:jc w:val="both"/>
              <w:textAlignment w:val="auto"/>
              <w:rPr>
                <w:rFonts w:hint="eastAsia" w:ascii="宋体" w:hAnsi="宋体" w:eastAsia="宋体" w:cs="宋体"/>
                <w:sz w:val="22"/>
                <w:szCs w:val="22"/>
              </w:rPr>
            </w:pPr>
          </w:p>
        </w:tc>
        <w:tc>
          <w:tcPr>
            <w:tcW w:w="3006" w:type="dxa"/>
            <w:noWrap w:val="0"/>
            <w:vAlign w:val="center"/>
          </w:tcPr>
          <w:p w14:paraId="0BAEA55C">
            <w:pPr>
              <w:keepNext w:val="0"/>
              <w:keepLines w:val="0"/>
              <w:pageBreakBefore w:val="0"/>
              <w:widowControl w:val="0"/>
              <w:wordWrap/>
              <w:topLinePunct w:val="0"/>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分值构成</w:t>
            </w:r>
          </w:p>
          <w:p w14:paraId="29FE81F2">
            <w:pPr>
              <w:keepNext w:val="0"/>
              <w:keepLines w:val="0"/>
              <w:pageBreakBefore w:val="0"/>
              <w:widowControl w:val="0"/>
              <w:wordWrap/>
              <w:topLinePunct w:val="0"/>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(总分100分)</w:t>
            </w:r>
          </w:p>
        </w:tc>
        <w:tc>
          <w:tcPr>
            <w:tcW w:w="5155" w:type="dxa"/>
            <w:noWrap w:val="0"/>
            <w:vAlign w:val="center"/>
          </w:tcPr>
          <w:p w14:paraId="2296AB44">
            <w:pPr>
              <w:keepNext w:val="0"/>
              <w:keepLines w:val="0"/>
              <w:pageBreakBefore w:val="0"/>
              <w:widowControl w:val="0"/>
              <w:wordWrap/>
              <w:topLinePunct w:val="0"/>
              <w:bidi w:val="0"/>
              <w:adjustRightInd w:val="0"/>
              <w:snapToGrid w:val="0"/>
              <w:spacing w:line="360" w:lineRule="exact"/>
              <w:textAlignment w:val="auto"/>
              <w:rPr>
                <w:rFonts w:hint="eastAsia" w:ascii="宋体" w:hAnsi="宋体" w:eastAsia="宋体" w:cs="宋体"/>
                <w:sz w:val="22"/>
                <w:szCs w:val="22"/>
                <w:lang w:val="en-US" w:eastAsia="zh-CN"/>
              </w:rPr>
            </w:pPr>
            <w:r>
              <w:rPr>
                <w:rFonts w:hint="eastAsia" w:ascii="宋体" w:hAnsi="宋体" w:eastAsia="宋体" w:cs="宋体"/>
                <w:kern w:val="0"/>
                <w:sz w:val="22"/>
                <w:szCs w:val="22"/>
                <w:lang w:val="en-US" w:eastAsia="zh-CN"/>
              </w:rPr>
              <w:t>1、技术部分</w:t>
            </w:r>
            <w:r>
              <w:rPr>
                <w:rFonts w:hint="eastAsia" w:ascii="宋体" w:hAnsi="宋体" w:eastAsia="宋体" w:cs="宋体"/>
                <w:sz w:val="22"/>
                <w:szCs w:val="22"/>
                <w:lang w:val="en-US" w:eastAsia="zh-CN"/>
              </w:rPr>
              <w:t>：</w:t>
            </w:r>
            <w:r>
              <w:rPr>
                <w:rFonts w:hint="eastAsia" w:ascii="宋体" w:hAnsi="宋体" w:cs="宋体"/>
                <w:sz w:val="22"/>
                <w:szCs w:val="22"/>
                <w:lang w:val="en-US" w:eastAsia="zh-CN"/>
              </w:rPr>
              <w:t>60</w:t>
            </w:r>
            <w:r>
              <w:rPr>
                <w:rFonts w:hint="eastAsia" w:ascii="宋体" w:hAnsi="宋体" w:eastAsia="宋体" w:cs="宋体"/>
                <w:sz w:val="22"/>
                <w:szCs w:val="22"/>
                <w:lang w:val="en-US" w:eastAsia="zh-CN"/>
              </w:rPr>
              <w:t>分</w:t>
            </w:r>
          </w:p>
          <w:p w14:paraId="3823522D">
            <w:pPr>
              <w:keepNext w:val="0"/>
              <w:keepLines w:val="0"/>
              <w:pageBreakBefore w:val="0"/>
              <w:widowControl w:val="0"/>
              <w:wordWrap/>
              <w:topLinePunct w:val="0"/>
              <w:bidi w:val="0"/>
              <w:adjustRightInd w:val="0"/>
              <w:snapToGrid w:val="0"/>
              <w:spacing w:line="3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2、投标报价：</w:t>
            </w:r>
            <w:r>
              <w:rPr>
                <w:rFonts w:hint="eastAsia" w:ascii="宋体" w:hAnsi="宋体" w:cs="宋体"/>
                <w:sz w:val="22"/>
                <w:szCs w:val="22"/>
                <w:lang w:val="en-US" w:eastAsia="zh-CN"/>
              </w:rPr>
              <w:t>2</w:t>
            </w:r>
            <w:r>
              <w:rPr>
                <w:rFonts w:hint="eastAsia" w:ascii="宋体" w:hAnsi="宋体" w:eastAsia="宋体" w:cs="宋体"/>
                <w:sz w:val="22"/>
                <w:szCs w:val="22"/>
                <w:lang w:val="en-US" w:eastAsia="zh-CN"/>
              </w:rPr>
              <w:t>0分</w:t>
            </w:r>
          </w:p>
          <w:p w14:paraId="15DA6379">
            <w:pPr>
              <w:keepNext w:val="0"/>
              <w:keepLines w:val="0"/>
              <w:pageBreakBefore w:val="0"/>
              <w:widowControl w:val="0"/>
              <w:wordWrap/>
              <w:topLinePunct w:val="0"/>
              <w:bidi w:val="0"/>
              <w:adjustRightInd w:val="0"/>
              <w:snapToGrid w:val="0"/>
              <w:spacing w:line="3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3、商务部分：</w:t>
            </w:r>
            <w:r>
              <w:rPr>
                <w:rFonts w:hint="eastAsia" w:ascii="宋体" w:hAnsi="宋体" w:cs="宋体"/>
                <w:sz w:val="22"/>
                <w:szCs w:val="22"/>
                <w:lang w:val="en-US" w:eastAsia="zh-CN"/>
              </w:rPr>
              <w:t>20</w:t>
            </w:r>
            <w:r>
              <w:rPr>
                <w:rFonts w:hint="eastAsia" w:ascii="宋体" w:hAnsi="宋体" w:eastAsia="宋体" w:cs="宋体"/>
                <w:sz w:val="22"/>
                <w:szCs w:val="22"/>
                <w:lang w:val="en-US" w:eastAsia="zh-CN"/>
              </w:rPr>
              <w:t>分</w:t>
            </w:r>
          </w:p>
        </w:tc>
      </w:tr>
    </w:tbl>
    <w:p w14:paraId="1825A942">
      <w:pPr>
        <w:rPr>
          <w:rFonts w:hint="eastAsia" w:ascii="宋体" w:hAnsi="宋体" w:eastAsia="宋体" w:cs="宋体"/>
        </w:rPr>
      </w:pPr>
    </w:p>
    <w:tbl>
      <w:tblPr>
        <w:tblStyle w:val="14"/>
        <w:tblW w:w="55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6"/>
        <w:gridCol w:w="928"/>
        <w:gridCol w:w="1089"/>
        <w:gridCol w:w="1613"/>
        <w:gridCol w:w="4665"/>
      </w:tblGrid>
      <w:tr w14:paraId="766A1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2" w:type="pct"/>
            <w:gridSpan w:val="2"/>
            <w:noWrap w:val="0"/>
            <w:vAlign w:val="center"/>
          </w:tcPr>
          <w:p w14:paraId="7F5BBDF2">
            <w:pPr>
              <w:pStyle w:val="9"/>
              <w:keepNext w:val="0"/>
              <w:keepLines w:val="0"/>
              <w:pageBreakBefore w:val="0"/>
              <w:kinsoku/>
              <w:wordWrap/>
              <w:topLinePunct w:val="0"/>
              <w:bidi w:val="0"/>
              <w:snapToGrid w:val="0"/>
              <w:spacing w:line="240" w:lineRule="auto"/>
              <w:jc w:val="center"/>
              <w:rPr>
                <w:rFonts w:hint="eastAsia" w:ascii="宋体" w:hAnsi="宋体" w:eastAsia="宋体" w:cs="宋体"/>
                <w:b/>
                <w:sz w:val="24"/>
                <w:szCs w:val="24"/>
              </w:rPr>
            </w:pPr>
            <w:r>
              <w:rPr>
                <w:rFonts w:hint="eastAsia" w:ascii="宋体" w:hAnsi="宋体" w:eastAsia="宋体" w:cs="宋体"/>
                <w:b/>
                <w:sz w:val="24"/>
                <w:szCs w:val="24"/>
              </w:rPr>
              <w:t>评分因素</w:t>
            </w:r>
          </w:p>
        </w:tc>
        <w:tc>
          <w:tcPr>
            <w:tcW w:w="576" w:type="pct"/>
            <w:noWrap w:val="0"/>
            <w:vAlign w:val="center"/>
          </w:tcPr>
          <w:p w14:paraId="77018109">
            <w:pPr>
              <w:pStyle w:val="9"/>
              <w:keepNext w:val="0"/>
              <w:keepLines w:val="0"/>
              <w:pageBreakBefore w:val="0"/>
              <w:kinsoku/>
              <w:wordWrap/>
              <w:topLinePunct w:val="0"/>
              <w:bidi w:val="0"/>
              <w:snapToGrid w:val="0"/>
              <w:spacing w:line="240" w:lineRule="auto"/>
              <w:jc w:val="center"/>
              <w:rPr>
                <w:rFonts w:hint="eastAsia" w:ascii="宋体" w:hAnsi="宋体" w:eastAsia="宋体" w:cs="宋体"/>
                <w:b/>
                <w:sz w:val="24"/>
                <w:szCs w:val="24"/>
              </w:rPr>
            </w:pPr>
          </w:p>
        </w:tc>
        <w:tc>
          <w:tcPr>
            <w:tcW w:w="3321" w:type="pct"/>
            <w:gridSpan w:val="2"/>
            <w:noWrap w:val="0"/>
            <w:vAlign w:val="center"/>
          </w:tcPr>
          <w:p w14:paraId="3B22CA1E">
            <w:pPr>
              <w:pStyle w:val="9"/>
              <w:keepNext w:val="0"/>
              <w:keepLines w:val="0"/>
              <w:pageBreakBefore w:val="0"/>
              <w:kinsoku/>
              <w:wordWrap/>
              <w:topLinePunct w:val="0"/>
              <w:bidi w:val="0"/>
              <w:snapToGrid w:val="0"/>
              <w:spacing w:line="240" w:lineRule="auto"/>
              <w:jc w:val="center"/>
              <w:rPr>
                <w:rFonts w:hint="eastAsia" w:ascii="宋体" w:hAnsi="宋体" w:eastAsia="宋体" w:cs="宋体"/>
                <w:b/>
                <w:sz w:val="24"/>
                <w:szCs w:val="24"/>
              </w:rPr>
            </w:pPr>
            <w:r>
              <w:rPr>
                <w:rFonts w:hint="eastAsia" w:ascii="宋体" w:hAnsi="宋体" w:eastAsia="宋体" w:cs="宋体"/>
                <w:b/>
                <w:sz w:val="24"/>
                <w:szCs w:val="24"/>
              </w:rPr>
              <w:t>评分标准</w:t>
            </w:r>
          </w:p>
        </w:tc>
      </w:tr>
      <w:tr w14:paraId="4AFB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restart"/>
            <w:noWrap w:val="0"/>
            <w:vAlign w:val="center"/>
          </w:tcPr>
          <w:p w14:paraId="73ECED0D">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b/>
                <w:sz w:val="24"/>
                <w:szCs w:val="24"/>
                <w:lang w:val="en-US" w:eastAsia="zh-CN"/>
              </w:rPr>
            </w:pPr>
            <w:r>
              <w:rPr>
                <w:rFonts w:hint="eastAsia" w:ascii="宋体" w:hAnsi="宋体" w:cs="宋体"/>
                <w:b/>
                <w:sz w:val="24"/>
                <w:szCs w:val="24"/>
                <w:lang w:val="en-US" w:eastAsia="zh-CN"/>
              </w:rPr>
              <w:t>技术部分</w:t>
            </w:r>
          </w:p>
        </w:tc>
        <w:tc>
          <w:tcPr>
            <w:tcW w:w="490" w:type="pct"/>
            <w:vMerge w:val="restart"/>
            <w:noWrap w:val="0"/>
            <w:vAlign w:val="center"/>
          </w:tcPr>
          <w:p w14:paraId="756123B5">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val="en-US" w:eastAsia="zh-CN"/>
              </w:rPr>
              <w:t>0分）</w:t>
            </w:r>
          </w:p>
          <w:p w14:paraId="1AD260F5">
            <w:pPr>
              <w:keepNext w:val="0"/>
              <w:keepLines w:val="0"/>
              <w:pageBreakBefore w:val="0"/>
              <w:tabs>
                <w:tab w:val="left" w:pos="342"/>
              </w:tabs>
              <w:kinsoku/>
              <w:wordWrap/>
              <w:topLinePunct w:val="0"/>
              <w:bidi w:val="0"/>
              <w:spacing w:line="240" w:lineRule="auto"/>
              <w:jc w:val="left"/>
              <w:rPr>
                <w:rFonts w:hint="eastAsia" w:ascii="宋体" w:hAnsi="宋体" w:eastAsia="宋体" w:cs="宋体"/>
                <w:b/>
                <w:sz w:val="24"/>
                <w:szCs w:val="24"/>
                <w:lang w:val="en-US" w:eastAsia="zh-CN"/>
              </w:rPr>
            </w:pPr>
          </w:p>
        </w:tc>
        <w:tc>
          <w:tcPr>
            <w:tcW w:w="576" w:type="pct"/>
            <w:vMerge w:val="restart"/>
            <w:noWrap w:val="0"/>
            <w:vAlign w:val="center"/>
          </w:tcPr>
          <w:p w14:paraId="395B4584">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rPr>
            </w:pPr>
          </w:p>
        </w:tc>
        <w:tc>
          <w:tcPr>
            <w:tcW w:w="853" w:type="pct"/>
            <w:noWrap w:val="0"/>
            <w:vAlign w:val="center"/>
          </w:tcPr>
          <w:p w14:paraId="0E337AB4">
            <w:pPr>
              <w:pStyle w:val="30"/>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r>
              <w:rPr>
                <w:rFonts w:hint="eastAsia" w:ascii="宋体" w:hAnsi="宋体" w:eastAsia="宋体" w:cs="宋体"/>
                <w:color w:val="000000"/>
                <w:sz w:val="20"/>
                <w:szCs w:val="20"/>
              </w:rPr>
              <w:t>内容完整性和编制水平</w:t>
            </w:r>
          </w:p>
          <w:p w14:paraId="12E15677">
            <w:pPr>
              <w:pStyle w:val="30"/>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Style w:val="31"/>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w:t>
            </w:r>
            <w:r>
              <w:rPr>
                <w:rFonts w:hint="eastAsia" w:ascii="宋体" w:hAnsi="宋体" w:eastAsia="宋体" w:cs="宋体"/>
                <w:color w:val="000000"/>
                <w:sz w:val="20"/>
                <w:szCs w:val="20"/>
                <w:lang w:val="en-US" w:eastAsia="zh-CN"/>
              </w:rPr>
              <w:t>10</w:t>
            </w:r>
            <w:r>
              <w:rPr>
                <w:rFonts w:hint="eastAsia" w:ascii="宋体" w:hAnsi="宋体" w:eastAsia="宋体" w:cs="宋体"/>
                <w:color w:val="000000"/>
                <w:sz w:val="20"/>
                <w:szCs w:val="20"/>
              </w:rPr>
              <w:t>分）</w:t>
            </w:r>
          </w:p>
        </w:tc>
        <w:tc>
          <w:tcPr>
            <w:tcW w:w="2467" w:type="pct"/>
            <w:noWrap w:val="0"/>
            <w:vAlign w:val="center"/>
          </w:tcPr>
          <w:p w14:paraId="2DB92A08">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针对本项目对施工组织部分进行编制。提供方案者即得基础分8分。 额外加分标准： 1.投标文件的内容完整、科学有效性、有针对性及编制水平高，全部技术参数都满足，得2分。 2.投标文件的内容完整性较好，科学有效性、有针对性，编制水平较好，技术参数大部分满足，得1分。 3.投标文件的内容不完整，科学有效性、有针对性体现较一般，编制水平较一般，技术参数小部分满足，得0.5分。 4.未提供，不得分。</w:t>
            </w:r>
          </w:p>
        </w:tc>
      </w:tr>
      <w:tr w14:paraId="5294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atLeast"/>
        </w:trPr>
        <w:tc>
          <w:tcPr>
            <w:tcW w:w="611" w:type="pct"/>
            <w:vMerge w:val="continue"/>
            <w:noWrap w:val="0"/>
            <w:vAlign w:val="center"/>
          </w:tcPr>
          <w:p w14:paraId="15AD863C">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sz w:val="24"/>
                <w:szCs w:val="24"/>
              </w:rPr>
            </w:pPr>
          </w:p>
        </w:tc>
        <w:tc>
          <w:tcPr>
            <w:tcW w:w="490" w:type="pct"/>
            <w:vMerge w:val="continue"/>
            <w:noWrap w:val="0"/>
            <w:vAlign w:val="center"/>
          </w:tcPr>
          <w:p w14:paraId="116EA0C5">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sz w:val="24"/>
                <w:szCs w:val="24"/>
              </w:rPr>
            </w:pPr>
          </w:p>
        </w:tc>
        <w:tc>
          <w:tcPr>
            <w:tcW w:w="576" w:type="pct"/>
            <w:vMerge w:val="continue"/>
            <w:noWrap w:val="0"/>
            <w:vAlign w:val="center"/>
          </w:tcPr>
          <w:p w14:paraId="2093BE50">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sz w:val="24"/>
                <w:szCs w:val="24"/>
              </w:rPr>
            </w:pPr>
          </w:p>
        </w:tc>
        <w:tc>
          <w:tcPr>
            <w:tcW w:w="853" w:type="pct"/>
            <w:noWrap w:val="0"/>
            <w:vAlign w:val="center"/>
          </w:tcPr>
          <w:p w14:paraId="2E670C3C">
            <w:pPr>
              <w:pStyle w:val="30"/>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Style w:val="31"/>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施工方案与技术措施（</w:t>
            </w:r>
            <w:r>
              <w:rPr>
                <w:rFonts w:hint="eastAsia" w:ascii="宋体" w:hAnsi="宋体" w:eastAsia="宋体" w:cs="宋体"/>
                <w:color w:val="000000"/>
                <w:sz w:val="20"/>
                <w:szCs w:val="20"/>
                <w:lang w:val="en-US" w:eastAsia="zh-CN"/>
              </w:rPr>
              <w:t>12</w:t>
            </w:r>
            <w:r>
              <w:rPr>
                <w:rFonts w:hint="eastAsia" w:ascii="宋体" w:hAnsi="宋体" w:eastAsia="宋体" w:cs="宋体"/>
                <w:color w:val="000000"/>
                <w:sz w:val="20"/>
                <w:szCs w:val="20"/>
              </w:rPr>
              <w:t>分）</w:t>
            </w:r>
          </w:p>
        </w:tc>
        <w:tc>
          <w:tcPr>
            <w:tcW w:w="2467" w:type="pct"/>
            <w:noWrap w:val="0"/>
            <w:vAlign w:val="center"/>
          </w:tcPr>
          <w:p w14:paraId="15C13DAD">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针对项目施工方案与技术措施编制方案，包含施⼯准备及进度安排、各分部分项⼯程主要施⼯技术⽅法、关键点控制措施、材料供应保障措施、成品保护措施等。提供方案即得基础分9.6分。额外加分标准： 1.施工方案合理，技术措施对工程质量、工期和施工安全保障的有针对性，得2.4分。 2.施工方案较合理，技术措施对工程质量、工期和施工安全的保障针对性较强的，得1.2分； 3.施工方案一般，技术措施对工程质量、工期和施工安全的保障针对性一般的得0.6分。 4.未提供不得分。</w:t>
            </w:r>
          </w:p>
        </w:tc>
      </w:tr>
      <w:tr w14:paraId="47EE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continue"/>
            <w:noWrap w:val="0"/>
            <w:vAlign w:val="center"/>
          </w:tcPr>
          <w:p w14:paraId="0DDEA2BE">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490" w:type="pct"/>
            <w:vMerge w:val="continue"/>
            <w:noWrap w:val="0"/>
            <w:vAlign w:val="center"/>
          </w:tcPr>
          <w:p w14:paraId="1B2D41C7">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576" w:type="pct"/>
            <w:vMerge w:val="continue"/>
            <w:noWrap w:val="0"/>
            <w:vAlign w:val="center"/>
          </w:tcPr>
          <w:p w14:paraId="68D7FC84">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853" w:type="pct"/>
            <w:noWrap w:val="0"/>
            <w:vAlign w:val="center"/>
          </w:tcPr>
          <w:p w14:paraId="0D662B8A">
            <w:pPr>
              <w:spacing w:line="360" w:lineRule="auto"/>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rPr>
              <w:t>施工安全</w:t>
            </w:r>
            <w:r>
              <w:rPr>
                <w:rFonts w:hint="eastAsia" w:ascii="宋体" w:hAnsi="宋体" w:eastAsia="宋体" w:cs="宋体"/>
                <w:kern w:val="0"/>
                <w:sz w:val="20"/>
                <w:szCs w:val="20"/>
                <w:lang w:eastAsia="zh-CN"/>
              </w:rPr>
              <w:t>文明</w:t>
            </w:r>
            <w:r>
              <w:rPr>
                <w:rFonts w:hint="eastAsia" w:ascii="宋体" w:hAnsi="宋体" w:eastAsia="宋体" w:cs="宋体"/>
                <w:kern w:val="0"/>
                <w:sz w:val="20"/>
                <w:szCs w:val="20"/>
              </w:rPr>
              <w:t>措施计划(</w:t>
            </w:r>
            <w:r>
              <w:rPr>
                <w:rFonts w:hint="eastAsia" w:ascii="宋体" w:hAnsi="宋体" w:eastAsia="宋体" w:cs="宋体"/>
                <w:kern w:val="0"/>
                <w:sz w:val="20"/>
                <w:szCs w:val="20"/>
                <w:lang w:val="en-US" w:eastAsia="zh-CN"/>
              </w:rPr>
              <w:t>7</w:t>
            </w:r>
            <w:r>
              <w:rPr>
                <w:rFonts w:hint="eastAsia" w:ascii="宋体" w:hAnsi="宋体" w:eastAsia="宋体" w:cs="宋体"/>
                <w:kern w:val="0"/>
                <w:sz w:val="20"/>
                <w:szCs w:val="20"/>
              </w:rPr>
              <w:t>分)</w:t>
            </w:r>
          </w:p>
        </w:tc>
        <w:tc>
          <w:tcPr>
            <w:tcW w:w="2467" w:type="pct"/>
            <w:noWrap w:val="0"/>
            <w:vAlign w:val="center"/>
          </w:tcPr>
          <w:p w14:paraId="34A3CF29">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投标人针对施工安全文明措施编制计划方案。要求安全体系设置合理、安全⽣产责任到⼈职责分明、⽂明施⼯落实到位、安全隐患预控有前瞻性、保障措施完善可⾏、有针对性的减少噪⾳、建筑垃圾清理彻底性、建筑垃圾运输时效性有详细措施。提供方案者即得基础分5.6分。额外加分标准： 1.措施完善可行，安全及保卫工作有针对性得1.4分。 2.措施较完善，安全及保卫工作较有针对性得 0.7分。 3.措施不完善，安全及保卫工作针对性一般的得 0.3分。 4.未提供，不得分。</w:t>
            </w:r>
          </w:p>
        </w:tc>
      </w:tr>
      <w:tr w14:paraId="01FA7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continue"/>
            <w:noWrap w:val="0"/>
            <w:vAlign w:val="center"/>
          </w:tcPr>
          <w:p w14:paraId="3C516225">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490" w:type="pct"/>
            <w:vMerge w:val="continue"/>
            <w:noWrap w:val="0"/>
            <w:vAlign w:val="center"/>
          </w:tcPr>
          <w:p w14:paraId="6F0625CE">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576" w:type="pct"/>
            <w:vMerge w:val="continue"/>
            <w:noWrap w:val="0"/>
            <w:vAlign w:val="center"/>
          </w:tcPr>
          <w:p w14:paraId="32338BB7">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853" w:type="pct"/>
            <w:noWrap w:val="0"/>
            <w:vAlign w:val="center"/>
          </w:tcPr>
          <w:p w14:paraId="0F171BCB">
            <w:pPr>
              <w:pStyle w:val="32"/>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Style w:val="31"/>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质量、环境管理体系与措施（</w:t>
            </w:r>
            <w:r>
              <w:rPr>
                <w:rFonts w:hint="eastAsia" w:ascii="宋体" w:hAnsi="宋体" w:eastAsia="宋体" w:cs="宋体"/>
                <w:color w:val="000000"/>
                <w:sz w:val="20"/>
                <w:szCs w:val="20"/>
                <w:lang w:val="en-US" w:eastAsia="zh-CN"/>
              </w:rPr>
              <w:t>5</w:t>
            </w:r>
            <w:r>
              <w:rPr>
                <w:rFonts w:hint="eastAsia" w:ascii="宋体" w:hAnsi="宋体" w:eastAsia="宋体" w:cs="宋体"/>
                <w:color w:val="000000"/>
                <w:sz w:val="20"/>
                <w:szCs w:val="20"/>
              </w:rPr>
              <w:t>分）</w:t>
            </w:r>
          </w:p>
        </w:tc>
        <w:tc>
          <w:tcPr>
            <w:tcW w:w="2467" w:type="pct"/>
            <w:noWrap w:val="0"/>
            <w:vAlign w:val="center"/>
          </w:tcPr>
          <w:p w14:paraId="23FEE16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投标人针对项目提供提供质量、环境管理体系与措施方案，包含质量保证体系、质量责任制度、质量检验制度、职⼯教育制度、保修制度有具体对应措施等。提供方案即得基础分4分。额外加分标准： 1.质量管理体系与措施的合理、有效、有针对性，得1分。 2.质量管理体系与措施较合理、可靠、较有效的，得0.5分； 3.质量管理体系与措施较一般、可靠性有效性一般的得0.2分。 4.未提供，不得分。</w:t>
            </w:r>
          </w:p>
        </w:tc>
      </w:tr>
      <w:tr w14:paraId="3EAEF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continue"/>
            <w:noWrap w:val="0"/>
            <w:vAlign w:val="center"/>
          </w:tcPr>
          <w:p w14:paraId="0DBADF86">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490" w:type="pct"/>
            <w:vMerge w:val="continue"/>
            <w:noWrap w:val="0"/>
            <w:vAlign w:val="center"/>
          </w:tcPr>
          <w:p w14:paraId="0A69C805">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576" w:type="pct"/>
            <w:vMerge w:val="continue"/>
            <w:noWrap w:val="0"/>
            <w:vAlign w:val="center"/>
          </w:tcPr>
          <w:p w14:paraId="452BD4BD">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853" w:type="pct"/>
            <w:noWrap w:val="0"/>
            <w:vAlign w:val="center"/>
          </w:tcPr>
          <w:p w14:paraId="2DF0A52C">
            <w:pPr>
              <w:pStyle w:val="32"/>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Style w:val="31"/>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工程进度计划与措施（</w:t>
            </w:r>
            <w:r>
              <w:rPr>
                <w:rFonts w:hint="eastAsia" w:ascii="宋体" w:hAnsi="宋体" w:eastAsia="宋体" w:cs="宋体"/>
                <w:color w:val="000000"/>
                <w:sz w:val="20"/>
                <w:szCs w:val="20"/>
                <w:lang w:val="en-US" w:eastAsia="zh-CN"/>
              </w:rPr>
              <w:t>6</w:t>
            </w:r>
            <w:r>
              <w:rPr>
                <w:rFonts w:hint="eastAsia" w:ascii="宋体" w:hAnsi="宋体" w:eastAsia="宋体" w:cs="宋体"/>
                <w:color w:val="000000"/>
                <w:sz w:val="20"/>
                <w:szCs w:val="20"/>
              </w:rPr>
              <w:t>分）</w:t>
            </w:r>
          </w:p>
        </w:tc>
        <w:tc>
          <w:tcPr>
            <w:tcW w:w="2467" w:type="pct"/>
            <w:noWrap w:val="0"/>
            <w:vAlign w:val="center"/>
          </w:tcPr>
          <w:p w14:paraId="494591D2">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投标人针对项目提供工程进度计划与措施方案。提供方案者即得基础分4.8分。额外加分标准： 1.工程进度计划与措施合理、可靠、有效，得1.2分。 2.工程进度计划与控制工期的保证措施较合理、较可靠、较有效的，得0.6分; 3.工程进度计划与控制，工期的保证措施一般、可靠性有效性一般的，得0.3分。 4.未提供，不得分。</w:t>
            </w:r>
          </w:p>
        </w:tc>
      </w:tr>
      <w:tr w14:paraId="3F15C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continue"/>
            <w:noWrap w:val="0"/>
            <w:vAlign w:val="center"/>
          </w:tcPr>
          <w:p w14:paraId="555A4F0B">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lang w:val="en-US" w:eastAsia="zh-CN"/>
              </w:rPr>
            </w:pPr>
          </w:p>
        </w:tc>
        <w:tc>
          <w:tcPr>
            <w:tcW w:w="490" w:type="pct"/>
            <w:vMerge w:val="continue"/>
            <w:noWrap w:val="0"/>
            <w:vAlign w:val="center"/>
          </w:tcPr>
          <w:p w14:paraId="2D333D77">
            <w:pPr>
              <w:keepNext w:val="0"/>
              <w:keepLines w:val="0"/>
              <w:pageBreakBefore w:val="0"/>
              <w:kinsoku/>
              <w:wordWrap/>
              <w:topLinePunct w:val="0"/>
              <w:bidi w:val="0"/>
              <w:spacing w:line="240" w:lineRule="auto"/>
              <w:jc w:val="center"/>
              <w:rPr>
                <w:rFonts w:hint="eastAsia" w:ascii="宋体" w:hAnsi="宋体" w:eastAsia="宋体" w:cs="宋体"/>
                <w:kern w:val="0"/>
                <w:sz w:val="24"/>
                <w:szCs w:val="24"/>
              </w:rPr>
            </w:pPr>
          </w:p>
        </w:tc>
        <w:tc>
          <w:tcPr>
            <w:tcW w:w="576" w:type="pct"/>
            <w:vMerge w:val="continue"/>
            <w:noWrap w:val="0"/>
            <w:vAlign w:val="center"/>
          </w:tcPr>
          <w:p w14:paraId="7A827161">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rPr>
            </w:pPr>
          </w:p>
        </w:tc>
        <w:tc>
          <w:tcPr>
            <w:tcW w:w="853" w:type="pct"/>
            <w:noWrap w:val="0"/>
            <w:vAlign w:val="center"/>
          </w:tcPr>
          <w:p w14:paraId="7F7411C5">
            <w:pPr>
              <w:autoSpaceDE w:val="0"/>
              <w:autoSpaceDN w:val="0"/>
              <w:adjustRightInd w:val="0"/>
              <w:spacing w:line="360" w:lineRule="auto"/>
              <w:jc w:val="left"/>
              <w:rPr>
                <w:rFonts w:hint="eastAsia" w:ascii="宋体" w:hAnsi="宋体" w:eastAsia="宋体" w:cs="宋体"/>
                <w:kern w:val="0"/>
                <w:sz w:val="20"/>
                <w:szCs w:val="20"/>
              </w:rPr>
            </w:pPr>
            <w:r>
              <w:rPr>
                <w:rFonts w:hint="eastAsia" w:ascii="宋体" w:hAnsi="宋体" w:eastAsia="宋体" w:cs="宋体"/>
                <w:kern w:val="0"/>
                <w:sz w:val="20"/>
                <w:szCs w:val="20"/>
              </w:rPr>
              <w:t>关键施工技术重点、难点和解决方案</w:t>
            </w:r>
          </w:p>
          <w:p w14:paraId="00F0BB8E">
            <w:pPr>
              <w:autoSpaceDE w:val="0"/>
              <w:autoSpaceDN w:val="0"/>
              <w:adjustRightInd w:val="0"/>
              <w:spacing w:line="360" w:lineRule="auto"/>
              <w:jc w:val="left"/>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eastAsia="宋体" w:cs="宋体"/>
                <w:kern w:val="0"/>
                <w:sz w:val="20"/>
                <w:szCs w:val="20"/>
                <w:lang w:val="en-US" w:eastAsia="zh-CN"/>
              </w:rPr>
              <w:t>10</w:t>
            </w:r>
            <w:r>
              <w:rPr>
                <w:rFonts w:hint="eastAsia" w:ascii="宋体" w:hAnsi="宋体" w:eastAsia="宋体" w:cs="宋体"/>
                <w:kern w:val="0"/>
                <w:sz w:val="20"/>
                <w:szCs w:val="20"/>
              </w:rPr>
              <w:t>分）</w:t>
            </w:r>
          </w:p>
        </w:tc>
        <w:tc>
          <w:tcPr>
            <w:tcW w:w="2467" w:type="pct"/>
            <w:noWrap w:val="0"/>
            <w:vAlign w:val="center"/>
          </w:tcPr>
          <w:p w14:paraId="4086B408">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highlight w:val="none"/>
                <w:lang w:val="en-US" w:eastAsia="zh-CN"/>
              </w:rPr>
              <w:t>投标人针对项目提供关键施工技术重点、难点、质量通病和解决方案。提供方案即得基础分8分。额外加分标准： 1.关键施工技术、工艺及工程项目实施的重点、难点提供有效解决方案，得2分。 2.关键施工技术、工艺及工程项目实施的重点、难点提供较有效解决方案，得1分。 3.关键施工技术、工艺及工程项目实施的重点、难点提供较一般的解决方案，得0.5分。 4.未提供不得分。</w:t>
            </w:r>
          </w:p>
        </w:tc>
      </w:tr>
      <w:tr w14:paraId="1878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611" w:type="pct"/>
            <w:vMerge w:val="continue"/>
            <w:noWrap w:val="0"/>
            <w:vAlign w:val="center"/>
          </w:tcPr>
          <w:p w14:paraId="23F86B2D">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lang w:val="en-US" w:eastAsia="zh-CN"/>
              </w:rPr>
            </w:pPr>
          </w:p>
        </w:tc>
        <w:tc>
          <w:tcPr>
            <w:tcW w:w="490" w:type="pct"/>
            <w:vMerge w:val="continue"/>
            <w:noWrap w:val="0"/>
            <w:vAlign w:val="center"/>
          </w:tcPr>
          <w:p w14:paraId="39E7E66F">
            <w:pPr>
              <w:keepNext w:val="0"/>
              <w:keepLines w:val="0"/>
              <w:pageBreakBefore w:val="0"/>
              <w:kinsoku/>
              <w:wordWrap/>
              <w:topLinePunct w:val="0"/>
              <w:bidi w:val="0"/>
              <w:spacing w:line="240" w:lineRule="auto"/>
              <w:jc w:val="center"/>
              <w:rPr>
                <w:rFonts w:hint="eastAsia" w:ascii="宋体" w:hAnsi="宋体" w:eastAsia="宋体" w:cs="宋体"/>
                <w:kern w:val="0"/>
                <w:sz w:val="24"/>
                <w:szCs w:val="24"/>
              </w:rPr>
            </w:pPr>
          </w:p>
        </w:tc>
        <w:tc>
          <w:tcPr>
            <w:tcW w:w="576" w:type="pct"/>
            <w:vMerge w:val="continue"/>
            <w:noWrap w:val="0"/>
            <w:vAlign w:val="center"/>
          </w:tcPr>
          <w:p w14:paraId="02EB6041">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rPr>
            </w:pPr>
          </w:p>
        </w:tc>
        <w:tc>
          <w:tcPr>
            <w:tcW w:w="853" w:type="pct"/>
            <w:noWrap w:val="0"/>
            <w:vAlign w:val="center"/>
          </w:tcPr>
          <w:p w14:paraId="2C68D5AD">
            <w:pPr>
              <w:autoSpaceDE w:val="0"/>
              <w:autoSpaceDN w:val="0"/>
              <w:adjustRightInd w:val="0"/>
              <w:spacing w:line="360" w:lineRule="auto"/>
              <w:jc w:val="left"/>
              <w:rPr>
                <w:rFonts w:hint="eastAsia" w:ascii="宋体" w:hAnsi="宋体" w:eastAsia="宋体" w:cs="宋体"/>
                <w:kern w:val="0"/>
                <w:sz w:val="20"/>
                <w:szCs w:val="20"/>
                <w:lang w:val="en-US" w:eastAsia="zh-CN"/>
              </w:rPr>
            </w:pPr>
            <w:r>
              <w:rPr>
                <w:rFonts w:hint="eastAsia" w:ascii="宋体" w:hAnsi="宋体" w:eastAsia="宋体" w:cs="宋体"/>
                <w:kern w:val="0"/>
                <w:sz w:val="20"/>
                <w:szCs w:val="20"/>
              </w:rPr>
              <w:t>应急预案以及应对措施（</w:t>
            </w:r>
            <w:r>
              <w:rPr>
                <w:rFonts w:hint="eastAsia" w:ascii="宋体" w:hAnsi="宋体" w:eastAsia="宋体" w:cs="宋体"/>
                <w:kern w:val="0"/>
                <w:sz w:val="20"/>
                <w:szCs w:val="20"/>
                <w:lang w:val="en-US" w:eastAsia="zh-CN"/>
              </w:rPr>
              <w:t>4</w:t>
            </w:r>
            <w:r>
              <w:rPr>
                <w:rFonts w:hint="eastAsia" w:ascii="宋体" w:hAnsi="宋体" w:eastAsia="宋体" w:cs="宋体"/>
                <w:kern w:val="0"/>
                <w:sz w:val="20"/>
                <w:szCs w:val="20"/>
              </w:rPr>
              <w:t>分）</w:t>
            </w:r>
          </w:p>
        </w:tc>
        <w:tc>
          <w:tcPr>
            <w:tcW w:w="2467" w:type="pct"/>
            <w:noWrap w:val="0"/>
            <w:vAlign w:val="center"/>
          </w:tcPr>
          <w:p w14:paraId="1AB391D1">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highlight w:val="none"/>
                <w:lang w:val="en-US" w:eastAsia="zh-CN"/>
              </w:rPr>
              <w:t>投标人针对项目提供应急预案以及应对措施方案，包含突发事件应对快捷性、保障措施全⾯完善且有明确方案。提供方案即得基础分3.2分。额外加分标准： 1.针对工程施工过程中可能遇到的各种风险的预案以及应对措施合理、切实可行得0.8分。 2.针对工程施工过程中可能遇到的各种风险的预案以及应对措施较合理可行得0.4分。 3.针对工程施工过程中可能遇到的各种风险的预案以及应对措施合理可行性较一般得0.2分。 4.未提供，不得分。</w:t>
            </w:r>
          </w:p>
        </w:tc>
      </w:tr>
      <w:tr w14:paraId="10227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611" w:type="pct"/>
            <w:vMerge w:val="continue"/>
            <w:noWrap w:val="0"/>
            <w:vAlign w:val="center"/>
          </w:tcPr>
          <w:p w14:paraId="6839BB19">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lang w:val="en-US" w:eastAsia="zh-CN"/>
              </w:rPr>
            </w:pPr>
          </w:p>
        </w:tc>
        <w:tc>
          <w:tcPr>
            <w:tcW w:w="490" w:type="pct"/>
            <w:vMerge w:val="continue"/>
            <w:noWrap w:val="0"/>
            <w:vAlign w:val="center"/>
          </w:tcPr>
          <w:p w14:paraId="0B51824C">
            <w:pPr>
              <w:keepNext w:val="0"/>
              <w:keepLines w:val="0"/>
              <w:pageBreakBefore w:val="0"/>
              <w:kinsoku/>
              <w:wordWrap/>
              <w:topLinePunct w:val="0"/>
              <w:bidi w:val="0"/>
              <w:spacing w:line="240" w:lineRule="auto"/>
              <w:jc w:val="center"/>
              <w:rPr>
                <w:rFonts w:hint="eastAsia" w:ascii="宋体" w:hAnsi="宋体" w:eastAsia="宋体" w:cs="宋体"/>
                <w:kern w:val="0"/>
                <w:sz w:val="24"/>
                <w:szCs w:val="24"/>
              </w:rPr>
            </w:pPr>
          </w:p>
        </w:tc>
        <w:tc>
          <w:tcPr>
            <w:tcW w:w="576" w:type="pct"/>
            <w:vMerge w:val="continue"/>
            <w:noWrap w:val="0"/>
            <w:vAlign w:val="center"/>
          </w:tcPr>
          <w:p w14:paraId="38C197B3">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rPr>
            </w:pPr>
          </w:p>
        </w:tc>
        <w:tc>
          <w:tcPr>
            <w:tcW w:w="853" w:type="pct"/>
            <w:noWrap w:val="0"/>
            <w:vAlign w:val="center"/>
          </w:tcPr>
          <w:p w14:paraId="43F2E427">
            <w:pPr>
              <w:pStyle w:val="32"/>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0"/>
                <w:szCs w:val="20"/>
              </w:rPr>
            </w:pPr>
            <w:r>
              <w:rPr>
                <w:rFonts w:hint="eastAsia" w:ascii="宋体" w:hAnsi="宋体" w:eastAsia="宋体" w:cs="宋体"/>
                <w:color w:val="000000"/>
                <w:sz w:val="20"/>
                <w:szCs w:val="20"/>
              </w:rPr>
              <w:t>资源配备计划（</w:t>
            </w:r>
            <w:r>
              <w:rPr>
                <w:rFonts w:hint="eastAsia" w:ascii="宋体" w:hAnsi="宋体" w:eastAsia="宋体" w:cs="宋体"/>
                <w:color w:val="000000"/>
                <w:sz w:val="20"/>
                <w:szCs w:val="20"/>
                <w:lang w:val="en-US" w:eastAsia="zh-CN"/>
              </w:rPr>
              <w:t>6</w:t>
            </w:r>
            <w:r>
              <w:rPr>
                <w:rFonts w:hint="eastAsia" w:ascii="宋体" w:hAnsi="宋体" w:eastAsia="宋体" w:cs="宋体"/>
                <w:color w:val="000000"/>
                <w:sz w:val="20"/>
                <w:szCs w:val="20"/>
              </w:rPr>
              <w:t>分）</w:t>
            </w:r>
          </w:p>
        </w:tc>
        <w:tc>
          <w:tcPr>
            <w:tcW w:w="2467" w:type="pct"/>
            <w:noWrap w:val="0"/>
            <w:vAlign w:val="center"/>
          </w:tcPr>
          <w:p w14:paraId="6B6067B0">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highlight w:val="none"/>
                <w:lang w:val="en-US" w:eastAsia="zh-CN"/>
              </w:rPr>
              <w:t>投标人针对项目提供资源配备计划方案，包含对投入的劳动力人数合理性、专业搭配齐全程度、从业证件齐全（如焊接作业⼈员应有焊接作业证）、各施⼯⼈员职责划分清晰、人员分⼯明确、劳动力安排中充分考虑医院环境因素（如控制噪⾳、保障就诊来往人员安全等）、具备应对突发情况（如天⽓变化、⼯期调整）的⼈员调配⽅案有具体相应措施。提供方案即得基础分4.8分。额外加分标准： 1.投入的劳动力与施工设备数量、种类的全面、合理、有效，得1.2分。 2.投入的劳动力与施工设备数量、种类较全面、较合理，得0.6分。 3.投入的劳动力与施工设备数量、种类的一般合理，得0.3分。 4.未提供，不得分。</w:t>
            </w:r>
          </w:p>
        </w:tc>
      </w:tr>
      <w:tr w14:paraId="6880E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611" w:type="pct"/>
            <w:vMerge w:val="restart"/>
            <w:noWrap w:val="0"/>
            <w:vAlign w:val="center"/>
          </w:tcPr>
          <w:p w14:paraId="38EEC02C">
            <w:pPr>
              <w:pStyle w:val="6"/>
              <w:keepNext w:val="0"/>
              <w:keepLines w:val="0"/>
              <w:pageBreakBefore w:val="0"/>
              <w:kinsoku/>
              <w:wordWrap/>
              <w:topLinePunct w:val="0"/>
              <w:bidi w:val="0"/>
              <w:spacing w:line="240" w:lineRule="auto"/>
              <w:ind w:firstLine="0"/>
              <w:jc w:val="both"/>
              <w:rPr>
                <w:rFonts w:hint="eastAsia" w:ascii="宋体" w:hAnsi="宋体" w:eastAsia="宋体" w:cs="宋体"/>
                <w:sz w:val="24"/>
                <w:szCs w:val="24"/>
                <w:lang w:val="en-US" w:eastAsia="zh-CN"/>
              </w:rPr>
            </w:pPr>
            <w:r>
              <w:rPr>
                <w:rFonts w:hint="eastAsia" w:ascii="宋体" w:hAnsi="宋体" w:eastAsia="宋体" w:cs="宋体"/>
                <w:b/>
                <w:sz w:val="24"/>
                <w:szCs w:val="24"/>
                <w:highlight w:val="none"/>
                <w:lang w:eastAsia="zh-CN"/>
              </w:rPr>
              <w:t>商务部分</w:t>
            </w:r>
          </w:p>
        </w:tc>
        <w:tc>
          <w:tcPr>
            <w:tcW w:w="490" w:type="pct"/>
            <w:vMerge w:val="restart"/>
            <w:noWrap w:val="0"/>
            <w:vAlign w:val="center"/>
          </w:tcPr>
          <w:p w14:paraId="65653FF4">
            <w:pPr>
              <w:pStyle w:val="6"/>
              <w:keepNext w:val="0"/>
              <w:keepLines w:val="0"/>
              <w:pageBreakBefore w:val="0"/>
              <w:kinsoku/>
              <w:wordWrap/>
              <w:topLinePunct w:val="0"/>
              <w:bidi w:val="0"/>
              <w:spacing w:line="240" w:lineRule="auto"/>
              <w:ind w:firstLine="0"/>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20分</w:t>
            </w:r>
          </w:p>
        </w:tc>
        <w:tc>
          <w:tcPr>
            <w:tcW w:w="576" w:type="pct"/>
            <w:noWrap w:val="0"/>
            <w:vAlign w:val="center"/>
          </w:tcPr>
          <w:p w14:paraId="55D2A4F1">
            <w:pPr>
              <w:keepNext w:val="0"/>
              <w:keepLines w:val="0"/>
              <w:pageBreakBefore w:val="0"/>
              <w:kinsoku/>
              <w:wordWrap/>
              <w:topLinePunct w:val="0"/>
              <w:bidi w:val="0"/>
              <w:spacing w:line="240" w:lineRule="auto"/>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kern w:val="2"/>
                <w:sz w:val="20"/>
                <w:szCs w:val="20"/>
                <w:highlight w:val="none"/>
                <w:lang w:val="en-US" w:eastAsia="zh-CN" w:bidi="ar-SA"/>
              </w:rPr>
              <w:t>响应供应商业绩（</w:t>
            </w:r>
            <w:r>
              <w:rPr>
                <w:rFonts w:hint="eastAsia" w:ascii="宋体" w:hAnsi="宋体" w:cs="宋体"/>
                <w:color w:val="000000"/>
                <w:kern w:val="2"/>
                <w:sz w:val="20"/>
                <w:szCs w:val="20"/>
                <w:highlight w:val="none"/>
                <w:lang w:val="en-US" w:eastAsia="zh-CN" w:bidi="ar-SA"/>
              </w:rPr>
              <w:t>10</w:t>
            </w:r>
            <w:r>
              <w:rPr>
                <w:rFonts w:hint="eastAsia" w:ascii="宋体" w:hAnsi="宋体" w:eastAsia="宋体" w:cs="宋体"/>
                <w:color w:val="000000"/>
                <w:kern w:val="2"/>
                <w:sz w:val="20"/>
                <w:szCs w:val="20"/>
                <w:highlight w:val="none"/>
                <w:lang w:val="en-US" w:eastAsia="zh-CN" w:bidi="ar-SA"/>
              </w:rPr>
              <w:t>分）</w:t>
            </w:r>
          </w:p>
        </w:tc>
        <w:tc>
          <w:tcPr>
            <w:tcW w:w="3321" w:type="pct"/>
            <w:gridSpan w:val="2"/>
            <w:noWrap w:val="0"/>
            <w:vAlign w:val="center"/>
          </w:tcPr>
          <w:p w14:paraId="72198C8B">
            <w:pPr>
              <w:pStyle w:val="32"/>
              <w:keepNext w:val="0"/>
              <w:keepLines w:val="0"/>
              <w:pageBreakBefore w:val="0"/>
              <w:widowControl/>
              <w:kinsoku/>
              <w:wordWrap/>
              <w:overflowPunct/>
              <w:topLinePunct w:val="0"/>
              <w:autoSpaceDE/>
              <w:autoSpaceDN/>
              <w:bidi w:val="0"/>
              <w:snapToGrid w:val="0"/>
              <w:spacing w:line="240" w:lineRule="auto"/>
              <w:textAlignment w:val="auto"/>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kern w:val="2"/>
                <w:sz w:val="20"/>
                <w:szCs w:val="20"/>
                <w:highlight w:val="none"/>
                <w:lang w:val="en-US" w:eastAsia="zh-CN" w:bidi="ar-SA"/>
              </w:rPr>
              <w:t>投标人提供2023年9月15日至今（业绩时间认定以合同签订时间为准）已完成或在建的类似施工业绩，每提供一项得5分，最高得10分。 （中标通知书及施工合同缺一不可，否则不予计分）</w:t>
            </w:r>
          </w:p>
        </w:tc>
      </w:tr>
      <w:tr w14:paraId="0338E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trPr>
        <w:tc>
          <w:tcPr>
            <w:tcW w:w="611" w:type="pct"/>
            <w:vMerge w:val="continue"/>
            <w:noWrap w:val="0"/>
            <w:vAlign w:val="center"/>
          </w:tcPr>
          <w:p w14:paraId="480691E4">
            <w:pPr>
              <w:pStyle w:val="6"/>
              <w:keepNext w:val="0"/>
              <w:keepLines w:val="0"/>
              <w:pageBreakBefore w:val="0"/>
              <w:kinsoku/>
              <w:wordWrap/>
              <w:topLinePunct w:val="0"/>
              <w:bidi w:val="0"/>
              <w:spacing w:line="240" w:lineRule="auto"/>
              <w:ind w:firstLine="0"/>
              <w:jc w:val="center"/>
              <w:rPr>
                <w:rFonts w:hint="eastAsia" w:ascii="宋体" w:hAnsi="宋体" w:eastAsia="宋体" w:cs="宋体"/>
                <w:b/>
                <w:sz w:val="24"/>
                <w:szCs w:val="24"/>
              </w:rPr>
            </w:pPr>
          </w:p>
        </w:tc>
        <w:tc>
          <w:tcPr>
            <w:tcW w:w="490" w:type="pct"/>
            <w:vMerge w:val="continue"/>
            <w:noWrap w:val="0"/>
            <w:vAlign w:val="center"/>
          </w:tcPr>
          <w:p w14:paraId="1213CEA8">
            <w:pPr>
              <w:pStyle w:val="6"/>
              <w:keepNext w:val="0"/>
              <w:keepLines w:val="0"/>
              <w:pageBreakBefore w:val="0"/>
              <w:kinsoku/>
              <w:wordWrap/>
              <w:topLinePunct w:val="0"/>
              <w:bidi w:val="0"/>
              <w:spacing w:line="240" w:lineRule="auto"/>
              <w:ind w:firstLine="0"/>
              <w:jc w:val="center"/>
              <w:rPr>
                <w:rFonts w:hint="eastAsia" w:ascii="宋体" w:hAnsi="宋体" w:eastAsia="宋体" w:cs="宋体"/>
                <w:b/>
                <w:sz w:val="24"/>
                <w:szCs w:val="24"/>
                <w:highlight w:val="none"/>
                <w:lang w:val="en-US" w:eastAsia="zh-CN"/>
              </w:rPr>
            </w:pPr>
          </w:p>
        </w:tc>
        <w:tc>
          <w:tcPr>
            <w:tcW w:w="576" w:type="pct"/>
            <w:vMerge w:val="restart"/>
            <w:noWrap w:val="0"/>
            <w:vAlign w:val="center"/>
          </w:tcPr>
          <w:p w14:paraId="3E4CADD7">
            <w:pPr>
              <w:keepNext w:val="0"/>
              <w:keepLines w:val="0"/>
              <w:pageBreakBefore w:val="0"/>
              <w:kinsoku/>
              <w:wordWrap/>
              <w:topLinePunct w:val="0"/>
              <w:bidi w:val="0"/>
              <w:spacing w:line="240" w:lineRule="auto"/>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人员配置</w:t>
            </w:r>
          </w:p>
          <w:p w14:paraId="2E15C7E1">
            <w:pPr>
              <w:spacing w:line="360" w:lineRule="auto"/>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eastAsia="宋体" w:cs="宋体"/>
                <w:kern w:val="0"/>
                <w:sz w:val="20"/>
                <w:szCs w:val="20"/>
                <w:lang w:val="en-US" w:eastAsia="zh-CN"/>
              </w:rPr>
              <w:t xml:space="preserve">10 </w:t>
            </w:r>
            <w:r>
              <w:rPr>
                <w:rFonts w:hint="eastAsia" w:ascii="宋体" w:hAnsi="宋体" w:eastAsia="宋体" w:cs="宋体"/>
                <w:kern w:val="0"/>
                <w:sz w:val="20"/>
                <w:szCs w:val="20"/>
              </w:rPr>
              <w:t>分）</w:t>
            </w:r>
          </w:p>
          <w:p w14:paraId="52989047">
            <w:pPr>
              <w:spacing w:line="360" w:lineRule="auto"/>
              <w:jc w:val="center"/>
              <w:rPr>
                <w:rFonts w:hint="eastAsia" w:ascii="宋体" w:hAnsi="宋体" w:eastAsia="宋体" w:cs="宋体"/>
                <w:kern w:val="0"/>
                <w:sz w:val="20"/>
                <w:szCs w:val="20"/>
                <w:lang w:val="en-US" w:eastAsia="zh-CN" w:bidi="ar-SA"/>
              </w:rPr>
            </w:pPr>
          </w:p>
        </w:tc>
        <w:tc>
          <w:tcPr>
            <w:tcW w:w="3321" w:type="pct"/>
            <w:gridSpan w:val="2"/>
            <w:noWrap w:val="0"/>
            <w:vAlign w:val="center"/>
          </w:tcPr>
          <w:p w14:paraId="6691874E">
            <w:pPr>
              <w:pStyle w:val="2"/>
              <w:spacing w:line="240" w:lineRule="auto"/>
              <w:rPr>
                <w:rFonts w:hint="eastAsia" w:ascii="宋体" w:hAnsi="宋体" w:eastAsia="宋体" w:cs="宋体"/>
                <w:kern w:val="2"/>
                <w:sz w:val="20"/>
                <w:szCs w:val="20"/>
                <w:lang w:val="en-US" w:eastAsia="zh-CN" w:bidi="ar-SA"/>
              </w:rPr>
            </w:pPr>
            <w:r>
              <w:rPr>
                <w:rFonts w:hint="eastAsia" w:ascii="宋体" w:hAnsi="宋体" w:eastAsia="宋体" w:cs="宋体"/>
                <w:color w:val="000000"/>
                <w:kern w:val="2"/>
                <w:sz w:val="20"/>
                <w:szCs w:val="20"/>
                <w:highlight w:val="none"/>
                <w:lang w:val="zh-CN" w:eastAsia="zh-CN" w:bidi="ar-SA"/>
              </w:rPr>
              <w:t>配备项目负责人、施工员、安全员、质量员、资(材)料员、</w:t>
            </w:r>
            <w:r>
              <w:rPr>
                <w:rFonts w:hint="eastAsia" w:ascii="宋体" w:hAnsi="宋体" w:eastAsia="宋体" w:cs="宋体"/>
                <w:b w:val="0"/>
                <w:i w:val="0"/>
                <w:strike w:val="0"/>
                <w:color w:val="auto"/>
                <w:sz w:val="20"/>
                <w:szCs w:val="20"/>
                <w:u w:val="none"/>
                <w:lang w:val="en-US" w:eastAsia="zh-CN"/>
              </w:rPr>
              <w:t>劳务员</w:t>
            </w:r>
            <w:r>
              <w:rPr>
                <w:rFonts w:hint="eastAsia" w:ascii="宋体" w:hAnsi="宋体" w:eastAsia="宋体" w:cs="宋体"/>
                <w:color w:val="000000"/>
                <w:kern w:val="2"/>
                <w:sz w:val="20"/>
                <w:szCs w:val="20"/>
                <w:highlight w:val="none"/>
                <w:lang w:val="zh-CN" w:eastAsia="zh-CN" w:bidi="ar-SA"/>
              </w:rPr>
              <w:t>。项目班子成员配备齐全</w:t>
            </w:r>
            <w:r>
              <w:rPr>
                <w:rFonts w:hint="eastAsia" w:ascii="宋体" w:hAnsi="宋体" w:eastAsia="宋体" w:cs="宋体"/>
                <w:color w:val="000000"/>
                <w:kern w:val="2"/>
                <w:sz w:val="20"/>
                <w:szCs w:val="20"/>
                <w:highlight w:val="none"/>
                <w:lang w:val="en-US" w:eastAsia="zh-CN" w:bidi="ar-SA"/>
              </w:rPr>
              <w:t>的</w:t>
            </w:r>
            <w:r>
              <w:rPr>
                <w:rFonts w:hint="eastAsia" w:ascii="宋体" w:hAnsi="宋体" w:eastAsia="宋体" w:cs="宋体"/>
                <w:color w:val="000000"/>
                <w:kern w:val="2"/>
                <w:sz w:val="20"/>
                <w:szCs w:val="20"/>
                <w:highlight w:val="none"/>
                <w:lang w:val="zh-CN" w:eastAsia="zh-CN" w:bidi="ar-SA"/>
              </w:rPr>
              <w:t>，得</w:t>
            </w:r>
            <w:r>
              <w:rPr>
                <w:rFonts w:hint="eastAsia" w:ascii="宋体" w:hAnsi="宋体" w:eastAsia="宋体" w:cs="宋体"/>
                <w:color w:val="000000"/>
                <w:kern w:val="2"/>
                <w:sz w:val="20"/>
                <w:szCs w:val="20"/>
                <w:highlight w:val="none"/>
                <w:lang w:val="en-US" w:eastAsia="zh-CN" w:bidi="ar-SA"/>
              </w:rPr>
              <w:t>6</w:t>
            </w:r>
            <w:r>
              <w:rPr>
                <w:rFonts w:hint="eastAsia" w:ascii="宋体" w:hAnsi="宋体" w:eastAsia="宋体" w:cs="宋体"/>
                <w:color w:val="000000"/>
                <w:kern w:val="2"/>
                <w:sz w:val="20"/>
                <w:szCs w:val="20"/>
                <w:highlight w:val="none"/>
                <w:lang w:val="zh-CN" w:eastAsia="zh-CN" w:bidi="ar-SA"/>
              </w:rPr>
              <w:t>分。每缺少一人扣</w:t>
            </w:r>
            <w:r>
              <w:rPr>
                <w:rFonts w:hint="eastAsia" w:ascii="宋体" w:hAnsi="宋体" w:eastAsia="宋体" w:cs="宋体"/>
                <w:color w:val="000000"/>
                <w:kern w:val="2"/>
                <w:sz w:val="20"/>
                <w:szCs w:val="20"/>
                <w:highlight w:val="none"/>
                <w:lang w:val="en-US" w:eastAsia="zh-CN" w:bidi="ar-SA"/>
              </w:rPr>
              <w:t>1</w:t>
            </w:r>
            <w:r>
              <w:rPr>
                <w:rFonts w:hint="eastAsia" w:ascii="宋体" w:hAnsi="宋体" w:eastAsia="宋体" w:cs="宋体"/>
                <w:color w:val="000000"/>
                <w:kern w:val="2"/>
                <w:sz w:val="20"/>
                <w:szCs w:val="20"/>
                <w:highlight w:val="none"/>
                <w:lang w:val="zh-CN" w:eastAsia="zh-CN" w:bidi="ar-SA"/>
              </w:rPr>
              <w:t>分，扣完为止。需提供</w:t>
            </w:r>
            <w:r>
              <w:rPr>
                <w:rFonts w:hint="eastAsia" w:ascii="宋体" w:hAnsi="宋体" w:eastAsia="宋体" w:cs="宋体"/>
                <w:color w:val="000000"/>
                <w:kern w:val="2"/>
                <w:sz w:val="20"/>
                <w:szCs w:val="20"/>
                <w:highlight w:val="none"/>
                <w:lang w:val="en-US" w:eastAsia="zh-CN" w:bidi="ar-SA"/>
              </w:rPr>
              <w:t>人员</w:t>
            </w:r>
            <w:r>
              <w:rPr>
                <w:rFonts w:hint="eastAsia" w:ascii="宋体" w:hAnsi="宋体" w:eastAsia="宋体" w:cs="宋体"/>
                <w:color w:val="000000"/>
                <w:kern w:val="2"/>
                <w:sz w:val="20"/>
                <w:szCs w:val="20"/>
                <w:highlight w:val="none"/>
                <w:lang w:val="zh-CN" w:eastAsia="zh-CN" w:bidi="ar-SA"/>
              </w:rPr>
              <w:t>岗位资格证书证明</w:t>
            </w:r>
            <w:r>
              <w:rPr>
                <w:rFonts w:hint="eastAsia" w:ascii="宋体" w:hAnsi="宋体" w:eastAsia="宋体" w:cs="宋体"/>
                <w:color w:val="000000"/>
                <w:kern w:val="2"/>
                <w:sz w:val="20"/>
                <w:szCs w:val="20"/>
                <w:highlight w:val="none"/>
                <w:lang w:val="en-US" w:eastAsia="zh-CN" w:bidi="ar-SA"/>
              </w:rPr>
              <w:t>资料</w:t>
            </w:r>
            <w:r>
              <w:rPr>
                <w:rFonts w:hint="eastAsia" w:ascii="宋体" w:hAnsi="宋体" w:eastAsia="宋体" w:cs="宋体"/>
                <w:color w:val="000000"/>
                <w:kern w:val="2"/>
                <w:sz w:val="20"/>
                <w:szCs w:val="20"/>
                <w:highlight w:val="none"/>
                <w:lang w:val="zh-CN" w:eastAsia="zh-CN" w:bidi="ar-SA"/>
              </w:rPr>
              <w:t>，</w:t>
            </w:r>
            <w:r>
              <w:rPr>
                <w:rFonts w:hint="eastAsia" w:ascii="宋体" w:hAnsi="宋体" w:eastAsia="宋体" w:cs="宋体"/>
                <w:color w:val="000000"/>
                <w:kern w:val="2"/>
                <w:sz w:val="20"/>
                <w:szCs w:val="20"/>
                <w:highlight w:val="none"/>
                <w:lang w:val="en-US" w:eastAsia="zh-CN" w:bidi="ar-SA"/>
              </w:rPr>
              <w:t>未</w:t>
            </w:r>
            <w:r>
              <w:rPr>
                <w:rFonts w:hint="eastAsia" w:ascii="宋体" w:hAnsi="宋体" w:eastAsia="宋体" w:cs="宋体"/>
                <w:color w:val="000000"/>
                <w:kern w:val="2"/>
                <w:sz w:val="20"/>
                <w:szCs w:val="20"/>
                <w:highlight w:val="none"/>
                <w:lang w:val="zh-CN" w:eastAsia="zh-CN" w:bidi="ar-SA"/>
              </w:rPr>
              <w:t>提供不得分。</w:t>
            </w:r>
          </w:p>
        </w:tc>
      </w:tr>
      <w:tr w14:paraId="58D89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611" w:type="pct"/>
            <w:vMerge w:val="continue"/>
            <w:noWrap w:val="0"/>
            <w:vAlign w:val="center"/>
          </w:tcPr>
          <w:p w14:paraId="4C5C8800">
            <w:pPr>
              <w:pStyle w:val="6"/>
              <w:keepNext w:val="0"/>
              <w:keepLines w:val="0"/>
              <w:pageBreakBefore w:val="0"/>
              <w:kinsoku/>
              <w:wordWrap/>
              <w:topLinePunct w:val="0"/>
              <w:bidi w:val="0"/>
              <w:spacing w:line="240" w:lineRule="auto"/>
              <w:ind w:firstLine="0"/>
              <w:jc w:val="center"/>
              <w:rPr>
                <w:rFonts w:hint="eastAsia" w:ascii="宋体" w:hAnsi="宋体" w:eastAsia="宋体" w:cs="宋体"/>
                <w:b/>
                <w:sz w:val="24"/>
                <w:szCs w:val="24"/>
              </w:rPr>
            </w:pPr>
          </w:p>
        </w:tc>
        <w:tc>
          <w:tcPr>
            <w:tcW w:w="490" w:type="pct"/>
            <w:vMerge w:val="continue"/>
            <w:noWrap w:val="0"/>
            <w:vAlign w:val="center"/>
          </w:tcPr>
          <w:p w14:paraId="7D0153EC">
            <w:pPr>
              <w:pStyle w:val="6"/>
              <w:keepNext w:val="0"/>
              <w:keepLines w:val="0"/>
              <w:pageBreakBefore w:val="0"/>
              <w:kinsoku/>
              <w:wordWrap/>
              <w:topLinePunct w:val="0"/>
              <w:bidi w:val="0"/>
              <w:spacing w:line="240" w:lineRule="auto"/>
              <w:ind w:firstLine="0"/>
              <w:jc w:val="center"/>
              <w:rPr>
                <w:rFonts w:hint="eastAsia" w:ascii="宋体" w:hAnsi="宋体" w:eastAsia="宋体" w:cs="宋体"/>
                <w:b/>
                <w:sz w:val="24"/>
                <w:szCs w:val="24"/>
                <w:highlight w:val="none"/>
                <w:lang w:val="en-US" w:eastAsia="zh-CN"/>
              </w:rPr>
            </w:pPr>
          </w:p>
        </w:tc>
        <w:tc>
          <w:tcPr>
            <w:tcW w:w="576" w:type="pct"/>
            <w:vMerge w:val="continue"/>
            <w:noWrap w:val="0"/>
            <w:vAlign w:val="center"/>
          </w:tcPr>
          <w:p w14:paraId="713216A7">
            <w:pPr>
              <w:spacing w:line="360" w:lineRule="auto"/>
              <w:jc w:val="center"/>
              <w:rPr>
                <w:rFonts w:hint="eastAsia" w:ascii="宋体" w:hAnsi="宋体" w:eastAsia="宋体" w:cs="宋体"/>
                <w:kern w:val="0"/>
                <w:sz w:val="20"/>
                <w:szCs w:val="20"/>
                <w:lang w:val="en-US" w:eastAsia="zh-CN" w:bidi="ar-SA"/>
              </w:rPr>
            </w:pPr>
          </w:p>
        </w:tc>
        <w:tc>
          <w:tcPr>
            <w:tcW w:w="3321" w:type="pct"/>
            <w:gridSpan w:val="2"/>
            <w:noWrap w:val="0"/>
            <w:vAlign w:val="center"/>
          </w:tcPr>
          <w:p w14:paraId="2C1A550B">
            <w:pPr>
              <w:pStyle w:val="2"/>
              <w:spacing w:line="240" w:lineRule="auto"/>
              <w:rPr>
                <w:rFonts w:hint="eastAsia" w:ascii="宋体" w:hAnsi="宋体" w:eastAsia="宋体" w:cs="宋体"/>
                <w:kern w:val="2"/>
                <w:sz w:val="20"/>
                <w:szCs w:val="20"/>
                <w:lang w:val="en-US" w:eastAsia="zh-CN" w:bidi="ar-SA"/>
              </w:rPr>
            </w:pPr>
            <w:r>
              <w:rPr>
                <w:rFonts w:hint="eastAsia" w:ascii="宋体" w:hAnsi="宋体" w:eastAsia="宋体" w:cs="宋体"/>
                <w:b w:val="0"/>
                <w:i w:val="0"/>
                <w:strike w:val="0"/>
                <w:color w:val="auto"/>
                <w:sz w:val="20"/>
                <w:szCs w:val="20"/>
                <w:u w:val="none"/>
                <w:lang w:val="en-US" w:eastAsia="zh-CN"/>
              </w:rPr>
              <w:t>技术负责人有[建筑类中级（含）以上工程师]技术职称得2分；其它人员如施工员、材料员、质检员或质量员、安全员、资料员、劳务员，每有一人具有[建筑类中级（含）以上工程师]技术职称得1分（最多2分)，</w:t>
            </w:r>
          </w:p>
        </w:tc>
      </w:tr>
    </w:tbl>
    <w:p w14:paraId="6165783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6611EC09">
      <w:pPr>
        <w:pStyle w:val="2"/>
        <w:rPr>
          <w:rFonts w:hint="eastAsia" w:ascii="宋体" w:hAnsi="宋体" w:eastAsia="宋体" w:cs="宋体"/>
          <w:b/>
          <w:sz w:val="28"/>
          <w:szCs w:val="28"/>
          <w:lang w:val="en-US" w:eastAsia="zh-CN"/>
        </w:rPr>
      </w:pPr>
    </w:p>
    <w:p w14:paraId="2DFF22E4">
      <w:pPr>
        <w:pStyle w:val="2"/>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9"/>
      </w:pPr>
    </w:p>
    <w:p w14:paraId="3132B795"/>
    <w:p w14:paraId="0A576042">
      <w:pPr>
        <w:pStyle w:val="9"/>
      </w:pPr>
    </w:p>
    <w:p w14:paraId="6DC81925"/>
    <w:p w14:paraId="73950FA8">
      <w:pPr>
        <w:pStyle w:val="9"/>
      </w:pPr>
    </w:p>
    <w:p w14:paraId="3D3ADE1E"/>
    <w:p w14:paraId="3EA602B9">
      <w:pPr>
        <w:pStyle w:val="9"/>
      </w:pPr>
    </w:p>
    <w:p w14:paraId="1C2369B1"/>
    <w:p w14:paraId="3D46A060">
      <w:pPr>
        <w:pStyle w:val="9"/>
      </w:pPr>
    </w:p>
    <w:p w14:paraId="0941FFCE"/>
    <w:p w14:paraId="46CE1A36">
      <w:pPr>
        <w:pStyle w:val="9"/>
      </w:pPr>
    </w:p>
    <w:p w14:paraId="2D3AA324"/>
    <w:p w14:paraId="5C50B345">
      <w:pPr>
        <w:pStyle w:val="9"/>
      </w:pPr>
    </w:p>
    <w:p w14:paraId="1C24A7AD"/>
    <w:p w14:paraId="38F03B4E">
      <w:pPr>
        <w:pStyle w:val="9"/>
      </w:pPr>
    </w:p>
    <w:p w14:paraId="5AB51ED1"/>
    <w:p w14:paraId="6F67E51F">
      <w:pPr>
        <w:pStyle w:val="9"/>
      </w:pPr>
    </w:p>
    <w:p w14:paraId="74F8E7E8"/>
    <w:p w14:paraId="5CC96C96">
      <w:pPr>
        <w:pStyle w:val="4"/>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十四、</w:t>
      </w:r>
      <w:r>
        <w:rPr>
          <w:rFonts w:hint="eastAsia" w:ascii="宋体" w:hAnsi="宋体" w:eastAsia="宋体" w:cs="宋体"/>
          <w:b w:val="0"/>
          <w:color w:val="000000"/>
          <w:sz w:val="24"/>
          <w:szCs w:val="24"/>
          <w:lang w:val="en-US" w:eastAsia="zh-CN"/>
        </w:rPr>
        <w:t>工程量清单</w:t>
      </w:r>
      <w:r>
        <w:rPr>
          <w:rFonts w:ascii="宋体" w:hAnsi="宋体" w:eastAsia="宋体" w:cs="宋体"/>
          <w:b w:val="0"/>
          <w:color w:val="000000"/>
          <w:sz w:val="24"/>
          <w:szCs w:val="24"/>
        </w:rPr>
        <w:t>.....................................................</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十五、其它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C73EE2">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571724F">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EECD5AF">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5"/>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5"/>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工期</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0E5E7F0D">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分项报价表（如有）</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本项目电梯情况介绍表</w:t>
      </w:r>
      <w:bookmarkStart w:id="1" w:name="_GoBack"/>
      <w:bookmarkEnd w:id="1"/>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4"/>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w:t>
      </w:r>
    </w:p>
    <w:p w14:paraId="00C9085F">
      <w:pPr>
        <w:pStyle w:val="5"/>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5"/>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5"/>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5"/>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5"/>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5"/>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5"/>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5"/>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5"/>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7D7820C7">
      <w:pPr>
        <w:pStyle w:val="5"/>
        <w:rPr>
          <w:rFonts w:hint="eastAsia"/>
        </w:rPr>
      </w:pPr>
    </w:p>
    <w:p w14:paraId="2104070E">
      <w:pPr>
        <w:keepNext w:val="0"/>
        <w:keepLines w:val="0"/>
        <w:pageBreakBefore w:val="0"/>
        <w:widowControl/>
        <w:numPr>
          <w:ilvl w:val="0"/>
          <w:numId w:val="6"/>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工程量清单</w:t>
      </w:r>
    </w:p>
    <w:p w14:paraId="68686F9A">
      <w:pPr>
        <w:pStyle w:val="5"/>
        <w:keepNext w:val="0"/>
        <w:keepLines w:val="0"/>
        <w:pageBreakBefore w:val="0"/>
        <w:widowControl/>
        <w:numPr>
          <w:ilvl w:val="0"/>
          <w:numId w:val="0"/>
        </w:numPr>
        <w:kinsoku/>
        <w:overflowPunct/>
        <w:topLinePunct w:val="0"/>
        <w:autoSpaceDE/>
        <w:autoSpaceDN/>
        <w:bidi w:val="0"/>
        <w:adjustRightInd/>
        <w:snapToGrid/>
        <w:ind w:firstLine="320" w:firstLineChars="200"/>
        <w:jc w:val="left"/>
        <w:textAlignment w:val="auto"/>
        <w:outlineLvl w:val="2"/>
        <w:rPr>
          <w:rFonts w:hint="eastAsia"/>
          <w:lang w:val="en-US" w:eastAsia="zh-CN"/>
        </w:rPr>
      </w:pPr>
    </w:p>
    <w:p w14:paraId="17F60C46">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right="0" w:rightChars="0"/>
        <w:jc w:val="left"/>
        <w:textAlignment w:val="auto"/>
        <w:rPr>
          <w:rFonts w:hint="default" w:ascii="宋体" w:hAnsi="宋体" w:eastAsia="宋体" w:cs="宋体"/>
          <w:b/>
          <w:sz w:val="28"/>
          <w:szCs w:val="28"/>
          <w:lang w:val="en-US" w:eastAsia="zh-CN"/>
        </w:rPr>
      </w:pPr>
    </w:p>
    <w:p w14:paraId="4EF406DE">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十五、其它</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43B5E7C1"/>
    <w:multiLevelType w:val="singleLevel"/>
    <w:tmpl w:val="43B5E7C1"/>
    <w:lvl w:ilvl="0" w:tentative="0">
      <w:start w:val="14"/>
      <w:numFmt w:val="chineseCounting"/>
      <w:suff w:val="nothing"/>
      <w:lvlText w:val="%1、"/>
      <w:lvlJc w:val="left"/>
      <w:rPr>
        <w:rFonts w:hint="eastAsia"/>
      </w:rPr>
    </w:lvl>
  </w:abstractNum>
  <w:abstractNum w:abstractNumId="3">
    <w:nsid w:val="503C22C2"/>
    <w:multiLevelType w:val="singleLevel"/>
    <w:tmpl w:val="503C22C2"/>
    <w:lvl w:ilvl="0" w:tentative="0">
      <w:start w:val="1"/>
      <w:numFmt w:val="chineseCounting"/>
      <w:suff w:val="nothing"/>
      <w:lvlText w:val="（%1）"/>
      <w:lvlJc w:val="left"/>
      <w:rPr>
        <w:rFonts w:hint="eastAsia"/>
      </w:rPr>
    </w:lvl>
  </w:abstractNum>
  <w:abstractNum w:abstractNumId="4">
    <w:nsid w:val="5C6A04CC"/>
    <w:multiLevelType w:val="singleLevel"/>
    <w:tmpl w:val="5C6A04CC"/>
    <w:lvl w:ilvl="0" w:tentative="0">
      <w:start w:val="1"/>
      <w:numFmt w:val="chineseCounting"/>
      <w:suff w:val="space"/>
      <w:lvlText w:val="第%1章"/>
      <w:lvlJc w:val="left"/>
      <w:rPr>
        <w:rFonts w:hint="eastAsia"/>
      </w:rPr>
    </w:lvl>
  </w:abstractNum>
  <w:abstractNum w:abstractNumId="5">
    <w:nsid w:val="6AA9C9E5"/>
    <w:multiLevelType w:val="singleLevel"/>
    <w:tmpl w:val="6AA9C9E5"/>
    <w:lvl w:ilvl="0" w:tentative="0">
      <w:start w:val="2"/>
      <w:numFmt w:val="chineseCounting"/>
      <w:suff w:val="nothing"/>
      <w:lvlText w:val="%1、"/>
      <w:lvlJc w:val="left"/>
      <w:rPr>
        <w:rFonts w:hint="eastAsia"/>
      </w:rPr>
    </w:lvl>
  </w:abstractNum>
  <w:num w:numId="1">
    <w:abstractNumId w:val="4"/>
  </w:num>
  <w:num w:numId="2">
    <w:abstractNumId w:val="5"/>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0B1084D"/>
    <w:rsid w:val="036C2F53"/>
    <w:rsid w:val="05076A5B"/>
    <w:rsid w:val="06816E75"/>
    <w:rsid w:val="06B07F83"/>
    <w:rsid w:val="06C14149"/>
    <w:rsid w:val="07EE0F70"/>
    <w:rsid w:val="080A65A2"/>
    <w:rsid w:val="081B095A"/>
    <w:rsid w:val="08CD140E"/>
    <w:rsid w:val="0D257E20"/>
    <w:rsid w:val="0DA07F51"/>
    <w:rsid w:val="0E7331C3"/>
    <w:rsid w:val="0F4E11A2"/>
    <w:rsid w:val="10D60D02"/>
    <w:rsid w:val="10EB7843"/>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A63C50"/>
    <w:rsid w:val="1DBB0D93"/>
    <w:rsid w:val="1DCA77EF"/>
    <w:rsid w:val="1ED20D4A"/>
    <w:rsid w:val="1EEF1B50"/>
    <w:rsid w:val="20341AF8"/>
    <w:rsid w:val="2092329D"/>
    <w:rsid w:val="214C62A1"/>
    <w:rsid w:val="216D46C6"/>
    <w:rsid w:val="219306DB"/>
    <w:rsid w:val="224C6733"/>
    <w:rsid w:val="23507ADC"/>
    <w:rsid w:val="241F1D5F"/>
    <w:rsid w:val="24A7212A"/>
    <w:rsid w:val="24BE0363"/>
    <w:rsid w:val="25757733"/>
    <w:rsid w:val="26470B4A"/>
    <w:rsid w:val="266437D3"/>
    <w:rsid w:val="267A5F90"/>
    <w:rsid w:val="26915EA6"/>
    <w:rsid w:val="26DE053E"/>
    <w:rsid w:val="274D7F79"/>
    <w:rsid w:val="276714E7"/>
    <w:rsid w:val="281659F6"/>
    <w:rsid w:val="293A1937"/>
    <w:rsid w:val="29D54044"/>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5BF10FE"/>
    <w:rsid w:val="36A5156F"/>
    <w:rsid w:val="378A70E6"/>
    <w:rsid w:val="37FC75FC"/>
    <w:rsid w:val="383D56F7"/>
    <w:rsid w:val="393C0F46"/>
    <w:rsid w:val="3E650D1D"/>
    <w:rsid w:val="3E9002A8"/>
    <w:rsid w:val="3F552A03"/>
    <w:rsid w:val="40A31F26"/>
    <w:rsid w:val="420B38E3"/>
    <w:rsid w:val="42E570EA"/>
    <w:rsid w:val="43B51B88"/>
    <w:rsid w:val="44AA028A"/>
    <w:rsid w:val="4603606C"/>
    <w:rsid w:val="469A594D"/>
    <w:rsid w:val="47C04769"/>
    <w:rsid w:val="486160DA"/>
    <w:rsid w:val="48846AB5"/>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616C33F6"/>
    <w:rsid w:val="6212481D"/>
    <w:rsid w:val="62DE1443"/>
    <w:rsid w:val="62E24E32"/>
    <w:rsid w:val="64746C6E"/>
    <w:rsid w:val="64A55108"/>
    <w:rsid w:val="64E47B74"/>
    <w:rsid w:val="65724AA6"/>
    <w:rsid w:val="6585763E"/>
    <w:rsid w:val="65A85339"/>
    <w:rsid w:val="661108EC"/>
    <w:rsid w:val="665F0BE6"/>
    <w:rsid w:val="669049D8"/>
    <w:rsid w:val="66FC737F"/>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64CC8"/>
    <w:rsid w:val="719B7B32"/>
    <w:rsid w:val="71DA20A9"/>
    <w:rsid w:val="72D20C3B"/>
    <w:rsid w:val="74062957"/>
    <w:rsid w:val="75080C92"/>
    <w:rsid w:val="75554A93"/>
    <w:rsid w:val="75E17EDC"/>
    <w:rsid w:val="764374DD"/>
    <w:rsid w:val="76B56870"/>
    <w:rsid w:val="76B838A9"/>
    <w:rsid w:val="78564BB1"/>
    <w:rsid w:val="79003D12"/>
    <w:rsid w:val="79705208"/>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9"/>
    <w:autoRedefine/>
    <w:qFormat/>
    <w:uiPriority w:val="1"/>
    <w:pPr>
      <w:jc w:val="both"/>
    </w:pPr>
    <w:rPr>
      <w:rFonts w:asciiTheme="minorHAnsi" w:hAnsiTheme="minorHAnsi" w:eastAsiaTheme="minorEastAsia" w:cstheme="minorBidi"/>
      <w:sz w:val="21"/>
      <w:szCs w:val="21"/>
      <w:lang w:val="en-US" w:eastAsia="zh-CN" w:bidi="ar-SA"/>
    </w:rPr>
  </w:style>
  <w:style w:type="paragraph" w:styleId="3">
    <w:name w:val="heading 1"/>
    <w:basedOn w:val="1"/>
    <w:next w:val="1"/>
    <w:autoRedefine/>
    <w:qFormat/>
    <w:uiPriority w:val="7"/>
    <w:pPr>
      <w:spacing w:before="340" w:after="330" w:line="578" w:lineRule="auto"/>
      <w:outlineLvl w:val="0"/>
    </w:pPr>
    <w:rPr>
      <w:b/>
      <w:sz w:val="44"/>
      <w:szCs w:val="44"/>
    </w:rPr>
  </w:style>
  <w:style w:type="paragraph" w:styleId="4">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5">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6">
    <w:name w:val="Default Paragraph Font"/>
    <w:autoRedefine/>
    <w:semiHidden/>
    <w:qFormat/>
    <w:uiPriority w:val="2"/>
  </w:style>
  <w:style w:type="table" w:default="1" w:styleId="14">
    <w:name w:val="Normal Table"/>
    <w:semiHidden/>
    <w:qFormat/>
    <w:uiPriority w:val="3"/>
    <w:tblPr>
      <w:tblCellMar>
        <w:top w:w="0" w:type="dxa"/>
        <w:left w:w="108" w:type="dxa"/>
        <w:bottom w:w="0" w:type="dxa"/>
        <w:right w:w="108" w:type="dxa"/>
      </w:tblCellMar>
    </w:tblPr>
  </w:style>
  <w:style w:type="paragraph" w:styleId="2">
    <w:name w:val="Body Text 2"/>
    <w:basedOn w:val="1"/>
    <w:unhideWhenUsed/>
    <w:qFormat/>
    <w:uiPriority w:val="99"/>
    <w:pPr>
      <w:spacing w:line="480" w:lineRule="auto"/>
    </w:pPr>
  </w:style>
  <w:style w:type="paragraph" w:styleId="6">
    <w:name w:val="Normal Indent"/>
    <w:basedOn w:val="1"/>
    <w:qFormat/>
    <w:uiPriority w:val="0"/>
    <w:pPr>
      <w:adjustRightInd w:val="0"/>
      <w:spacing w:line="360" w:lineRule="atLeast"/>
      <w:ind w:firstLine="482"/>
      <w:textAlignment w:val="baseline"/>
    </w:pPr>
    <w:rPr>
      <w:kern w:val="0"/>
      <w:sz w:val="24"/>
      <w:szCs w:val="20"/>
    </w:rPr>
  </w:style>
  <w:style w:type="paragraph" w:styleId="7">
    <w:name w:val="Body Text"/>
    <w:basedOn w:val="1"/>
    <w:next w:val="1"/>
    <w:qFormat/>
    <w:uiPriority w:val="1"/>
    <w:rPr>
      <w:rFonts w:ascii="微软雅黑" w:hAnsi="微软雅黑" w:eastAsia="微软雅黑" w:cs="微软雅黑"/>
      <w:sz w:val="15"/>
      <w:szCs w:val="15"/>
      <w:lang w:val="zh-CN" w:bidi="zh-CN"/>
    </w:rPr>
  </w:style>
  <w:style w:type="paragraph" w:styleId="8">
    <w:name w:val="Body Text Indent"/>
    <w:basedOn w:val="1"/>
    <w:qFormat/>
    <w:uiPriority w:val="0"/>
    <w:pPr>
      <w:spacing w:after="120"/>
      <w:ind w:left="420" w:leftChars="200"/>
    </w:pPr>
  </w:style>
  <w:style w:type="paragraph" w:styleId="9">
    <w:name w:val="Plain Text"/>
    <w:basedOn w:val="1"/>
    <w:qFormat/>
    <w:uiPriority w:val="0"/>
    <w:rPr>
      <w:rFonts w:ascii="宋体" w:hAnsi="Courier New"/>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3">
    <w:name w:val="Body Text First Indent 2"/>
    <w:basedOn w:val="8"/>
    <w:qFormat/>
    <w:uiPriority w:val="0"/>
    <w:pPr>
      <w:ind w:firstLine="420" w:firstLineChars="200"/>
    </w:pPr>
  </w:style>
  <w:style w:type="table" w:styleId="15">
    <w:name w:val="Table Grid"/>
    <w:basedOn w:val="14"/>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Normal_6"/>
    <w:next w:val="9"/>
    <w:qFormat/>
    <w:uiPriority w:val="0"/>
    <w:pPr>
      <w:widowControl w:val="0"/>
      <w:jc w:val="both"/>
    </w:pPr>
    <w:rPr>
      <w:rFonts w:ascii="Times New Roman" w:hAnsi="Times New Roman" w:eastAsia="宋体" w:cs="Times New Roman"/>
      <w:kern w:val="2"/>
      <w:sz w:val="21"/>
      <w:lang w:val="en-US" w:eastAsia="zh-CN" w:bidi="ar-SA"/>
    </w:rPr>
  </w:style>
  <w:style w:type="paragraph" w:styleId="18">
    <w:name w:val="List Paragraph"/>
    <w:basedOn w:val="1"/>
    <w:qFormat/>
    <w:uiPriority w:val="26"/>
    <w:pPr>
      <w:ind w:firstLine="200"/>
    </w:pPr>
    <w:rPr>
      <w:rFonts w:ascii="Times New Roman" w:hAnsi="Times New Roman" w:eastAsia="宋体" w:cs="Times New Roman"/>
      <w:sz w:val="28"/>
      <w:szCs w:val="28"/>
    </w:rPr>
  </w:style>
  <w:style w:type="character" w:customStyle="1" w:styleId="19">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0">
    <w:name w:val="font11"/>
    <w:basedOn w:val="16"/>
    <w:autoRedefine/>
    <w:qFormat/>
    <w:uiPriority w:val="0"/>
    <w:rPr>
      <w:rFonts w:hint="eastAsia" w:ascii="宋体" w:hAnsi="宋体" w:eastAsia="宋体" w:cs="宋体"/>
      <w:color w:val="000000"/>
      <w:sz w:val="24"/>
      <w:szCs w:val="24"/>
      <w:u w:val="none"/>
    </w:rPr>
  </w:style>
  <w:style w:type="character" w:customStyle="1" w:styleId="21">
    <w:name w:val="font31"/>
    <w:basedOn w:val="16"/>
    <w:autoRedefine/>
    <w:qFormat/>
    <w:uiPriority w:val="0"/>
    <w:rPr>
      <w:rFonts w:hint="eastAsia" w:ascii="宋体" w:hAnsi="宋体" w:eastAsia="宋体" w:cs="宋体"/>
      <w:color w:val="000000"/>
      <w:sz w:val="21"/>
      <w:szCs w:val="21"/>
      <w:u w:val="none"/>
    </w:rPr>
  </w:style>
  <w:style w:type="paragraph" w:customStyle="1" w:styleId="22">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3">
    <w:name w:val="font41"/>
    <w:basedOn w:val="16"/>
    <w:autoRedefine/>
    <w:qFormat/>
    <w:uiPriority w:val="0"/>
    <w:rPr>
      <w:rFonts w:ascii="Calibri" w:hAnsi="Calibri" w:cs="Calibri"/>
      <w:color w:val="000000"/>
      <w:sz w:val="28"/>
      <w:szCs w:val="28"/>
      <w:u w:val="none"/>
    </w:rPr>
  </w:style>
  <w:style w:type="character" w:customStyle="1" w:styleId="24">
    <w:name w:val="font21"/>
    <w:basedOn w:val="16"/>
    <w:autoRedefine/>
    <w:qFormat/>
    <w:uiPriority w:val="0"/>
    <w:rPr>
      <w:rFonts w:hint="eastAsia" w:ascii="宋体" w:hAnsi="宋体" w:eastAsia="宋体" w:cs="宋体"/>
      <w:color w:val="000000"/>
      <w:sz w:val="21"/>
      <w:szCs w:val="21"/>
      <w:u w:val="none"/>
    </w:rPr>
  </w:style>
  <w:style w:type="table" w:customStyle="1" w:styleId="25">
    <w:name w:val="网格型1"/>
    <w:basedOn w:val="26"/>
    <w:qFormat/>
    <w:uiPriority w:val="0"/>
    <w:pPr>
      <w:widowControl w:val="0"/>
      <w:jc w:val="both"/>
    </w:pPr>
  </w:style>
  <w:style w:type="table" w:customStyle="1" w:styleId="26">
    <w:name w:val="普通表格1"/>
    <w:semiHidden/>
    <w:qFormat/>
    <w:uiPriority w:val="0"/>
  </w:style>
  <w:style w:type="paragraph" w:customStyle="1" w:styleId="27">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8">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9">
    <w:name w:val="列出段落1"/>
    <w:basedOn w:val="1"/>
    <w:qFormat/>
    <w:uiPriority w:val="34"/>
    <w:pPr>
      <w:ind w:firstLine="420" w:firstLineChars="200"/>
    </w:pPr>
    <w:rPr>
      <w:rFonts w:ascii="Times New Roman" w:hAnsi="Times New Roman" w:eastAsia="宋体" w:cs="Times New Roman"/>
      <w:sz w:val="28"/>
      <w:szCs w:val="21"/>
    </w:rPr>
  </w:style>
  <w:style w:type="paragraph" w:customStyle="1" w:styleId="30">
    <w:name w:val="正文_4_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1">
    <w:name w:val="15_1"/>
    <w:basedOn w:val="16"/>
    <w:qFormat/>
    <w:uiPriority w:val="0"/>
    <w:rPr>
      <w:rFonts w:hint="default" w:ascii="Times New Roman" w:hAnsi="Times New Roman" w:eastAsia="Times New Roman" w:cs="Times New Roman"/>
    </w:rPr>
  </w:style>
  <w:style w:type="paragraph" w:customStyle="1" w:styleId="32">
    <w:name w:val="Normal"/>
    <w:qFormat/>
    <w:uiPriority w:val="0"/>
    <w:pPr>
      <w:widowControl w:val="0"/>
      <w:adjustRightInd w:val="0"/>
      <w:spacing w:line="315" w:lineRule="atLeast"/>
      <w:jc w:val="both"/>
      <w:textAlignment w:val="baseline"/>
    </w:pPr>
    <w:rPr>
      <w:rFonts w:ascii="宋体" w:hAnsi="Calibri" w:eastAsia="宋体" w:cs="Times New Roman"/>
      <w:sz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6525</Words>
  <Characters>6762</Characters>
  <Lines>0</Lines>
  <Paragraphs>0</Paragraphs>
  <TotalTime>3</TotalTime>
  <ScaleCrop>false</ScaleCrop>
  <LinksUpToDate>false</LinksUpToDate>
  <CharactersWithSpaces>6881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2026-09-18T08:10:35Z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8D7663FB46D94803B21333AFC07CB282_13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