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29C0A451">
      <w:pPr>
        <w:pStyle w:val="14"/>
        <w:rPr>
          <w:rFonts w:hint="eastAsia"/>
          <w:lang w:val="en-US" w:eastAsia="zh-CN"/>
        </w:rPr>
      </w:pPr>
    </w:p>
    <w:p w14:paraId="573D04A4">
      <w:pPr>
        <w:rPr>
          <w:rFonts w:hint="eastAsia"/>
          <w:lang w:val="en-US" w:eastAsia="zh-CN"/>
        </w:rPr>
      </w:pPr>
    </w:p>
    <w:p w14:paraId="40D4F4C5">
      <w:pPr>
        <w:numPr>
          <w:ilvl w:val="0"/>
          <w:numId w:val="0"/>
        </w:numPr>
        <w:jc w:val="center"/>
        <w:rPr>
          <w:rFonts w:hint="eastAsia" w:ascii="黑体" w:hAnsi="黑体" w:eastAsia="黑体" w:cs="黑体"/>
          <w:b/>
          <w:bCs/>
          <w:sz w:val="36"/>
          <w:szCs w:val="36"/>
          <w:lang w:val="en-US" w:eastAsia="zh-CN"/>
        </w:rPr>
      </w:pPr>
    </w:p>
    <w:p w14:paraId="0652A7E0">
      <w:pPr>
        <w:numPr>
          <w:ilvl w:val="0"/>
          <w:numId w:val="0"/>
        </w:numPr>
        <w:jc w:val="center"/>
        <w:rPr>
          <w:rFonts w:hint="eastAsia" w:ascii="宋体" w:hAnsi="宋体" w:eastAsia="宋体" w:cs="宋体"/>
          <w:b/>
          <w:i w:val="0"/>
          <w:caps/>
          <w:color w:val="333333"/>
          <w:spacing w:val="0"/>
          <w:sz w:val="36"/>
          <w:szCs w:val="36"/>
          <w:lang w:val="en-US" w:eastAsia="zh-CN"/>
        </w:rPr>
      </w:pPr>
      <w:bookmarkStart w:id="1" w:name="_GoBack"/>
      <w:r>
        <w:rPr>
          <w:rFonts w:hint="eastAsia" w:ascii="宋体" w:hAnsi="宋体" w:eastAsia="宋体" w:cs="宋体"/>
          <w:b/>
          <w:i w:val="0"/>
          <w:caps/>
          <w:color w:val="333333"/>
          <w:spacing w:val="0"/>
          <w:sz w:val="36"/>
          <w:szCs w:val="36"/>
          <w:lang w:val="en-US" w:eastAsia="zh-CN"/>
        </w:rPr>
        <w:t>放射工作人员职业健康检查服务项目</w:t>
      </w:r>
    </w:p>
    <w:bookmarkEnd w:id="1"/>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2026年9月22日</w:t>
      </w: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200"/>
        <w:gridCol w:w="1079"/>
        <w:gridCol w:w="1683"/>
        <w:gridCol w:w="1650"/>
      </w:tblGrid>
      <w:tr w14:paraId="29F99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2964" w:type="dxa"/>
            <w:vAlign w:val="center"/>
          </w:tcPr>
          <w:p w14:paraId="3E37CC3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07310B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079"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683" w:type="dxa"/>
            <w:vAlign w:val="center"/>
          </w:tcPr>
          <w:p w14:paraId="4C60CD5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650" w:type="dxa"/>
            <w:vAlign w:val="center"/>
          </w:tcPr>
          <w:p w14:paraId="14356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43D3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2" w:hRule="atLeast"/>
          <w:jc w:val="center"/>
        </w:trPr>
        <w:tc>
          <w:tcPr>
            <w:tcW w:w="1091" w:type="dxa"/>
            <w:vAlign w:val="center"/>
          </w:tcPr>
          <w:p w14:paraId="17C02F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964" w:type="dxa"/>
            <w:vAlign w:val="center"/>
          </w:tcPr>
          <w:p w14:paraId="4CFD29C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放射工作人员职业健康检查服务</w:t>
            </w:r>
          </w:p>
          <w:p w14:paraId="5ED8FA9B">
            <w:pPr>
              <w:widowControl/>
              <w:jc w:val="center"/>
              <w:textAlignment w:val="center"/>
              <w:rPr>
                <w:rFonts w:hint="eastAsia" w:ascii="宋体" w:hAnsi="宋体" w:eastAsia="宋体" w:cs="宋体"/>
                <w:kern w:val="0"/>
                <w:sz w:val="28"/>
                <w:szCs w:val="28"/>
                <w:lang w:val="en-US" w:eastAsia="zh-CN"/>
              </w:rPr>
            </w:pPr>
          </w:p>
        </w:tc>
        <w:tc>
          <w:tcPr>
            <w:tcW w:w="1200" w:type="dxa"/>
            <w:vAlign w:val="center"/>
          </w:tcPr>
          <w:p w14:paraId="569A970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人</w:t>
            </w:r>
          </w:p>
        </w:tc>
        <w:tc>
          <w:tcPr>
            <w:tcW w:w="1079" w:type="dxa"/>
            <w:vAlign w:val="center"/>
          </w:tcPr>
          <w:p w14:paraId="535899A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127</w:t>
            </w:r>
          </w:p>
        </w:tc>
        <w:tc>
          <w:tcPr>
            <w:tcW w:w="1683" w:type="dxa"/>
            <w:vAlign w:val="center"/>
          </w:tcPr>
          <w:p w14:paraId="70A9229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900</w:t>
            </w:r>
          </w:p>
        </w:tc>
        <w:tc>
          <w:tcPr>
            <w:tcW w:w="1650" w:type="dxa"/>
            <w:vAlign w:val="center"/>
          </w:tcPr>
          <w:p w14:paraId="1D45D755">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114300</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BC628AE">
            <w:pPr>
              <w:widowControl/>
              <w:jc w:val="center"/>
              <w:textAlignment w:val="center"/>
              <w:rPr>
                <w:rFonts w:hint="eastAsia" w:ascii="宋体" w:hAnsi="宋体" w:eastAsia="宋体" w:cs="宋体"/>
                <w:kern w:val="0"/>
                <w:sz w:val="28"/>
                <w:szCs w:val="28"/>
                <w:lang w:val="en-US" w:eastAsia="zh-CN"/>
              </w:rPr>
            </w:pPr>
          </w:p>
        </w:tc>
        <w:tc>
          <w:tcPr>
            <w:tcW w:w="6926" w:type="dxa"/>
            <w:gridSpan w:val="4"/>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1650" w:type="dxa"/>
            <w:vAlign w:val="center"/>
          </w:tcPr>
          <w:p w14:paraId="1CE8AE64">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114300</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入场服务时间</w:t>
            </w:r>
          </w:p>
        </w:tc>
        <w:tc>
          <w:tcPr>
            <w:tcW w:w="5612" w:type="dxa"/>
            <w:gridSpan w:val="4"/>
            <w:vAlign w:val="center"/>
          </w:tcPr>
          <w:p w14:paraId="72174209">
            <w:pPr>
              <w:widowControl/>
              <w:jc w:val="left"/>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合同签订后一周内开始提供放射工作人员职业健康检查服务</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服务期</w:t>
            </w:r>
          </w:p>
        </w:tc>
        <w:tc>
          <w:tcPr>
            <w:tcW w:w="5612" w:type="dxa"/>
            <w:gridSpan w:val="4"/>
            <w:vAlign w:val="center"/>
          </w:tcPr>
          <w:p w14:paraId="56B9AF71">
            <w:pPr>
              <w:widowControl/>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本项目为一次性体检服务，合同有效期为自合同签订之日起至全部体检完成、报告交付、本次服务完成止。</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091"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4"/>
            <w:vAlign w:val="center"/>
          </w:tcPr>
          <w:p w14:paraId="06580548">
            <w:pPr>
              <w:widowControl/>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甲方收到全部放射工作人员职业健康检查报告后付款</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2FD57B8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5612" w:type="dxa"/>
            <w:gridSpan w:val="4"/>
            <w:vAlign w:val="center"/>
          </w:tcPr>
          <w:p w14:paraId="4B29C0FC">
            <w:pPr>
              <w:widowControl/>
              <w:jc w:val="left"/>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鄂尔多斯市中心医院东胜部</w:t>
            </w: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5E553D0E">
      <w:pPr>
        <w:spacing w:line="360" w:lineRule="auto"/>
        <w:jc w:val="left"/>
        <w:rPr>
          <w:rFonts w:hint="eastAsia" w:ascii="宋体" w:hAnsi="宋体" w:eastAsia="宋体"/>
          <w:sz w:val="32"/>
          <w:szCs w:val="32"/>
          <w:u w:val="single"/>
          <w:lang w:val="en-US" w:eastAsia="zh-CN"/>
        </w:rPr>
      </w:pPr>
      <w:r>
        <w:rPr>
          <w:rFonts w:hint="eastAsia" w:ascii="宋体" w:hAnsi="宋体" w:eastAsia="宋体"/>
          <w:sz w:val="32"/>
          <w:szCs w:val="32"/>
        </w:rPr>
        <w:t>（1）项目基本情况介绍：</w:t>
      </w:r>
      <w:r>
        <w:rPr>
          <w:rFonts w:hint="eastAsia" w:ascii="宋体" w:hAnsi="宋体" w:eastAsia="宋体"/>
          <w:sz w:val="32"/>
          <w:szCs w:val="32"/>
          <w:u w:val="single"/>
        </w:rPr>
        <w:t>依据《</w:t>
      </w:r>
      <w:r>
        <w:rPr>
          <w:rFonts w:hint="eastAsia" w:ascii="宋体" w:hAnsi="宋体" w:eastAsia="宋体"/>
          <w:sz w:val="32"/>
          <w:szCs w:val="32"/>
          <w:u w:val="single"/>
          <w:lang w:eastAsia="zh-CN"/>
        </w:rPr>
        <w:t>中华人民共和国职业病防治法</w:t>
      </w:r>
      <w:r>
        <w:rPr>
          <w:rFonts w:hint="eastAsia" w:ascii="宋体" w:hAnsi="宋体" w:eastAsia="宋体"/>
          <w:sz w:val="32"/>
          <w:szCs w:val="32"/>
          <w:u w:val="single"/>
        </w:rPr>
        <w:t>》、《放射诊疗管理规定》</w:t>
      </w:r>
      <w:r>
        <w:rPr>
          <w:rFonts w:hint="eastAsia" w:ascii="宋体" w:hAnsi="宋体" w:eastAsia="宋体"/>
          <w:sz w:val="32"/>
          <w:szCs w:val="32"/>
          <w:u w:val="single"/>
          <w:lang w:eastAsia="zh-CN"/>
        </w:rPr>
        <w:t>、</w:t>
      </w:r>
      <w:r>
        <w:rPr>
          <w:rFonts w:hint="eastAsia" w:ascii="宋体" w:hAnsi="宋体" w:eastAsia="宋体"/>
          <w:sz w:val="32"/>
          <w:szCs w:val="32"/>
          <w:u w:val="single"/>
        </w:rPr>
        <w:t>《放射工作人员职业健康管理办法》</w:t>
      </w:r>
      <w:r>
        <w:rPr>
          <w:rFonts w:hint="eastAsia" w:ascii="宋体" w:hAnsi="宋体" w:eastAsia="宋体"/>
          <w:sz w:val="32"/>
          <w:szCs w:val="32"/>
          <w:u w:val="single"/>
          <w:lang w:eastAsia="zh-CN"/>
        </w:rPr>
        <w:t>、</w:t>
      </w:r>
      <w:r>
        <w:rPr>
          <w:rFonts w:hint="eastAsia" w:ascii="宋体" w:hAnsi="宋体" w:eastAsia="宋体"/>
          <w:sz w:val="32"/>
          <w:szCs w:val="32"/>
          <w:u w:val="single"/>
        </w:rPr>
        <w:t>《</w:t>
      </w:r>
      <w:r>
        <w:rPr>
          <w:rFonts w:hint="eastAsia" w:ascii="宋体" w:hAnsi="宋体" w:eastAsia="宋体"/>
          <w:sz w:val="32"/>
          <w:szCs w:val="32"/>
          <w:u w:val="single"/>
          <w:lang w:eastAsia="zh-CN"/>
        </w:rPr>
        <w:t>中华人民共和国国家职业卫生标准</w:t>
      </w:r>
      <w:r>
        <w:rPr>
          <w:rFonts w:hint="eastAsia" w:ascii="宋体" w:hAnsi="宋体" w:eastAsia="宋体"/>
          <w:sz w:val="32"/>
          <w:szCs w:val="32"/>
          <w:u w:val="single"/>
          <w:lang w:val="en-US" w:eastAsia="zh-CN"/>
        </w:rPr>
        <w:t xml:space="preserve">GBZ </w:t>
      </w:r>
    </w:p>
    <w:p w14:paraId="33EFF474">
      <w:pPr>
        <w:spacing w:line="360" w:lineRule="auto"/>
        <w:jc w:val="left"/>
        <w:rPr>
          <w:rFonts w:hint="eastAsia" w:ascii="宋体" w:hAnsi="宋体" w:eastAsia="宋体"/>
          <w:sz w:val="32"/>
          <w:szCs w:val="32"/>
          <w:u w:val="single"/>
          <w:lang w:val="en-US" w:eastAsia="zh-CN"/>
        </w:rPr>
      </w:pPr>
    </w:p>
    <w:p w14:paraId="2E81A862">
      <w:pPr>
        <w:spacing w:line="360" w:lineRule="auto"/>
        <w:jc w:val="left"/>
        <w:rPr>
          <w:rFonts w:hint="eastAsia" w:ascii="宋体" w:hAnsi="宋体" w:eastAsia="宋体"/>
          <w:sz w:val="32"/>
          <w:szCs w:val="32"/>
          <w:u w:val="single"/>
          <w:lang w:val="en-US" w:eastAsia="zh-CN"/>
        </w:rPr>
      </w:pPr>
      <w:r>
        <w:rPr>
          <w:rFonts w:hint="eastAsia" w:ascii="宋体" w:hAnsi="宋体" w:eastAsia="宋体"/>
          <w:sz w:val="32"/>
          <w:szCs w:val="32"/>
          <w:u w:val="single"/>
          <w:lang w:val="en-US" w:eastAsia="zh-CN"/>
        </w:rPr>
        <w:t>98-2020</w:t>
      </w:r>
      <w:r>
        <w:rPr>
          <w:rFonts w:hint="eastAsia" w:ascii="宋体" w:hAnsi="宋体" w:eastAsia="宋体"/>
          <w:sz w:val="32"/>
          <w:szCs w:val="32"/>
          <w:u w:val="single"/>
        </w:rPr>
        <w:t>》《</w:t>
      </w:r>
      <w:r>
        <w:rPr>
          <w:rFonts w:hint="eastAsia" w:ascii="宋体" w:hAnsi="宋体" w:eastAsia="宋体"/>
          <w:sz w:val="32"/>
          <w:szCs w:val="32"/>
          <w:u w:val="single"/>
          <w:lang w:eastAsia="zh-CN"/>
        </w:rPr>
        <w:t>放射工作人员健康要求及监护规范</w:t>
      </w:r>
      <w:r>
        <w:rPr>
          <w:rFonts w:hint="eastAsia" w:ascii="宋体" w:hAnsi="宋体" w:eastAsia="宋体"/>
          <w:sz w:val="32"/>
          <w:szCs w:val="32"/>
          <w:u w:val="single"/>
        </w:rPr>
        <w:t>》等相关标准和规范，承接我院委托的放射工作人员</w:t>
      </w:r>
      <w:r>
        <w:rPr>
          <w:rFonts w:hint="eastAsia" w:ascii="宋体" w:hAnsi="宋体" w:eastAsia="宋体"/>
          <w:sz w:val="32"/>
          <w:szCs w:val="32"/>
          <w:u w:val="single"/>
          <w:lang w:eastAsia="zh-CN"/>
        </w:rPr>
        <w:t>职业健康检查</w:t>
      </w:r>
      <w:r>
        <w:rPr>
          <w:rFonts w:hint="eastAsia" w:ascii="宋体" w:hAnsi="宋体" w:eastAsia="宋体"/>
          <w:sz w:val="32"/>
          <w:szCs w:val="32"/>
          <w:u w:val="single"/>
        </w:rPr>
        <w:t>工作，并</w:t>
      </w:r>
      <w:r>
        <w:rPr>
          <w:rFonts w:hint="eastAsia" w:ascii="宋体" w:hAnsi="宋体" w:eastAsia="宋体"/>
          <w:sz w:val="32"/>
          <w:szCs w:val="32"/>
          <w:u w:val="single"/>
          <w:lang w:eastAsia="zh-CN"/>
        </w:rPr>
        <w:t>出具</w:t>
      </w:r>
      <w:r>
        <w:rPr>
          <w:rFonts w:hint="eastAsia" w:ascii="宋体" w:hAnsi="宋体" w:eastAsia="宋体"/>
          <w:sz w:val="32"/>
          <w:szCs w:val="32"/>
          <w:u w:val="single"/>
        </w:rPr>
        <w:t>书面</w:t>
      </w:r>
      <w:r>
        <w:rPr>
          <w:rFonts w:hint="eastAsia" w:ascii="宋体" w:hAnsi="宋体" w:eastAsia="宋体"/>
          <w:sz w:val="32"/>
          <w:szCs w:val="32"/>
          <w:u w:val="single"/>
          <w:lang w:eastAsia="zh-CN"/>
        </w:rPr>
        <w:t>职业健康检查</w:t>
      </w:r>
      <w:r>
        <w:rPr>
          <w:rFonts w:hint="eastAsia" w:ascii="宋体" w:hAnsi="宋体" w:eastAsia="宋体"/>
          <w:sz w:val="32"/>
          <w:szCs w:val="32"/>
          <w:u w:val="single"/>
        </w:rPr>
        <w:t>报告</w:t>
      </w:r>
      <w:r>
        <w:rPr>
          <w:rFonts w:hint="eastAsia" w:ascii="宋体" w:hAnsi="宋体" w:eastAsia="宋体"/>
          <w:sz w:val="32"/>
          <w:szCs w:val="32"/>
          <w:u w:val="single"/>
          <w:lang w:eastAsia="zh-CN"/>
        </w:rPr>
        <w:t>（包括汇总报告和个体报告）</w:t>
      </w:r>
      <w:r>
        <w:rPr>
          <w:rFonts w:hint="eastAsia" w:ascii="宋体" w:hAnsi="宋体" w:eastAsia="宋体"/>
          <w:sz w:val="32"/>
          <w:szCs w:val="32"/>
          <w:u w:val="single"/>
        </w:rPr>
        <w:t>。</w:t>
      </w:r>
    </w:p>
    <w:p w14:paraId="7495DC22">
      <w:pPr>
        <w:spacing w:line="360" w:lineRule="auto"/>
        <w:jc w:val="left"/>
        <w:rPr>
          <w:rFonts w:hint="eastAsia" w:ascii="宋体" w:hAnsi="宋体" w:eastAsia="宋体"/>
          <w:sz w:val="32"/>
          <w:szCs w:val="32"/>
          <w:u w:val="single"/>
        </w:rPr>
      </w:pPr>
      <w:r>
        <w:rPr>
          <w:rFonts w:hint="eastAsia" w:ascii="宋体" w:hAnsi="宋体" w:eastAsia="宋体" w:cs="宋体"/>
          <w:sz w:val="32"/>
          <w:szCs w:val="32"/>
        </w:rPr>
        <w:t>（2）技术参数和要求（功能和质量）</w:t>
      </w:r>
    </w:p>
    <w:tbl>
      <w:tblPr>
        <w:tblStyle w:val="15"/>
        <w:tblW w:w="10411" w:type="dxa"/>
        <w:jc w:val="center"/>
        <w:tblLayout w:type="fixed"/>
        <w:tblCellMar>
          <w:top w:w="0" w:type="dxa"/>
          <w:left w:w="108" w:type="dxa"/>
          <w:bottom w:w="0" w:type="dxa"/>
          <w:right w:w="108" w:type="dxa"/>
        </w:tblCellMar>
      </w:tblPr>
      <w:tblGrid>
        <w:gridCol w:w="2037"/>
        <w:gridCol w:w="1001"/>
        <w:gridCol w:w="7373"/>
      </w:tblGrid>
      <w:tr w14:paraId="282D40EC">
        <w:tblPrEx>
          <w:tblCellMar>
            <w:top w:w="0" w:type="dxa"/>
            <w:left w:w="108" w:type="dxa"/>
            <w:bottom w:w="0" w:type="dxa"/>
            <w:right w:w="108" w:type="dxa"/>
          </w:tblCellMar>
        </w:tblPrEx>
        <w:trPr>
          <w:trHeight w:val="487"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0877665D">
            <w:pPr>
              <w:widowControl/>
              <w:jc w:val="center"/>
              <w:rPr>
                <w:rFonts w:hint="eastAsia" w:ascii="宋体" w:hAnsi="宋体" w:eastAsia="宋体" w:cs="宋体"/>
                <w:sz w:val="32"/>
                <w:szCs w:val="32"/>
              </w:rPr>
            </w:pPr>
            <w:r>
              <w:rPr>
                <w:rFonts w:hint="eastAsia" w:ascii="宋体" w:hAnsi="宋体" w:eastAsia="宋体" w:cs="宋体"/>
                <w:sz w:val="32"/>
                <w:szCs w:val="32"/>
              </w:rPr>
              <w:t>参数性质</w:t>
            </w:r>
          </w:p>
        </w:tc>
        <w:tc>
          <w:tcPr>
            <w:tcW w:w="1001" w:type="dxa"/>
            <w:tcBorders>
              <w:top w:val="single" w:color="auto" w:sz="4" w:space="0"/>
              <w:left w:val="nil"/>
              <w:bottom w:val="single" w:color="auto" w:sz="4" w:space="0"/>
              <w:right w:val="single" w:color="auto" w:sz="4" w:space="0"/>
            </w:tcBorders>
            <w:vAlign w:val="center"/>
          </w:tcPr>
          <w:p w14:paraId="319D7CC7">
            <w:pPr>
              <w:widowControl/>
              <w:jc w:val="center"/>
              <w:rPr>
                <w:rFonts w:hint="eastAsia" w:ascii="宋体" w:hAnsi="宋体" w:eastAsia="宋体" w:cs="宋体"/>
                <w:sz w:val="32"/>
                <w:szCs w:val="32"/>
              </w:rPr>
            </w:pPr>
            <w:r>
              <w:rPr>
                <w:rFonts w:hint="eastAsia" w:ascii="宋体" w:hAnsi="宋体" w:eastAsia="宋体" w:cs="宋体"/>
                <w:sz w:val="32"/>
                <w:szCs w:val="32"/>
              </w:rPr>
              <w:t>编号</w:t>
            </w:r>
          </w:p>
        </w:tc>
        <w:tc>
          <w:tcPr>
            <w:tcW w:w="7373" w:type="dxa"/>
            <w:tcBorders>
              <w:top w:val="single" w:color="auto" w:sz="4" w:space="0"/>
              <w:left w:val="nil"/>
              <w:bottom w:val="single" w:color="auto" w:sz="4" w:space="0"/>
              <w:right w:val="single" w:color="auto" w:sz="4" w:space="0"/>
            </w:tcBorders>
            <w:vAlign w:val="center"/>
          </w:tcPr>
          <w:p w14:paraId="0C054C24">
            <w:pPr>
              <w:widowControl/>
              <w:jc w:val="center"/>
              <w:rPr>
                <w:rFonts w:hint="eastAsia" w:ascii="宋体" w:hAnsi="宋体" w:eastAsia="宋体" w:cs="宋体"/>
                <w:sz w:val="32"/>
                <w:szCs w:val="32"/>
              </w:rPr>
            </w:pPr>
            <w:r>
              <w:rPr>
                <w:rFonts w:hint="eastAsia" w:ascii="宋体" w:hAnsi="宋体" w:eastAsia="宋体" w:cs="宋体"/>
                <w:sz w:val="32"/>
                <w:szCs w:val="32"/>
              </w:rPr>
              <w:t>技术参数和要求</w:t>
            </w:r>
          </w:p>
        </w:tc>
      </w:tr>
      <w:tr w14:paraId="43FBF588">
        <w:tblPrEx>
          <w:tblCellMar>
            <w:top w:w="0" w:type="dxa"/>
            <w:left w:w="108" w:type="dxa"/>
            <w:bottom w:w="0" w:type="dxa"/>
            <w:right w:w="108" w:type="dxa"/>
          </w:tblCellMar>
        </w:tblPrEx>
        <w:trPr>
          <w:trHeight w:val="323"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4B3F797E">
            <w:pPr>
              <w:widowControl/>
              <w:jc w:val="center"/>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w:t>
            </w:r>
          </w:p>
        </w:tc>
        <w:tc>
          <w:tcPr>
            <w:tcW w:w="1001" w:type="dxa"/>
            <w:tcBorders>
              <w:top w:val="single" w:color="auto" w:sz="4" w:space="0"/>
              <w:left w:val="nil"/>
              <w:bottom w:val="single" w:color="auto" w:sz="4" w:space="0"/>
              <w:right w:val="single" w:color="auto" w:sz="4" w:space="0"/>
            </w:tcBorders>
            <w:vAlign w:val="center"/>
          </w:tcPr>
          <w:p w14:paraId="3026F3DD">
            <w:pPr>
              <w:widowControl/>
              <w:jc w:val="center"/>
              <w:rPr>
                <w:rFonts w:hint="eastAsia" w:ascii="宋体" w:hAnsi="宋体" w:eastAsia="宋体" w:cs="宋体"/>
                <w:sz w:val="32"/>
                <w:szCs w:val="32"/>
              </w:rPr>
            </w:pPr>
            <w:r>
              <w:rPr>
                <w:rFonts w:hint="eastAsia" w:ascii="宋体" w:hAnsi="宋体" w:eastAsia="宋体" w:cs="宋体"/>
                <w:sz w:val="32"/>
                <w:szCs w:val="32"/>
              </w:rPr>
              <w:t>1</w:t>
            </w:r>
          </w:p>
        </w:tc>
        <w:tc>
          <w:tcPr>
            <w:tcW w:w="7373" w:type="dxa"/>
            <w:tcBorders>
              <w:top w:val="single" w:color="auto" w:sz="4" w:space="0"/>
              <w:left w:val="nil"/>
              <w:bottom w:val="single" w:color="auto" w:sz="4" w:space="0"/>
              <w:right w:val="single" w:color="auto" w:sz="4" w:space="0"/>
            </w:tcBorders>
            <w:vAlign w:val="center"/>
          </w:tcPr>
          <w:p w14:paraId="1C4C550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体检项目、流程、健康评价完全符合《放射工作人员健康要求及监护规范》（GBZ 98‑2020）全部要求。 </w:t>
            </w:r>
          </w:p>
        </w:tc>
      </w:tr>
      <w:tr w14:paraId="13CE8ED7">
        <w:tblPrEx>
          <w:tblCellMar>
            <w:top w:w="0" w:type="dxa"/>
            <w:left w:w="108" w:type="dxa"/>
            <w:bottom w:w="0" w:type="dxa"/>
            <w:right w:w="108" w:type="dxa"/>
          </w:tblCellMar>
        </w:tblPrEx>
        <w:trPr>
          <w:trHeight w:val="773"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1C73DFB8">
            <w:pPr>
              <w:widowControl/>
              <w:jc w:val="center"/>
              <w:rPr>
                <w:rFonts w:hint="eastAsia" w:ascii="宋体" w:hAnsi="宋体" w:eastAsia="宋体" w:cs="宋体"/>
                <w:sz w:val="32"/>
                <w:szCs w:val="32"/>
              </w:rPr>
            </w:pPr>
          </w:p>
        </w:tc>
        <w:tc>
          <w:tcPr>
            <w:tcW w:w="1001" w:type="dxa"/>
            <w:tcBorders>
              <w:top w:val="single" w:color="auto" w:sz="4" w:space="0"/>
              <w:left w:val="nil"/>
              <w:bottom w:val="single" w:color="auto" w:sz="4" w:space="0"/>
              <w:right w:val="single" w:color="auto" w:sz="4" w:space="0"/>
            </w:tcBorders>
            <w:vAlign w:val="center"/>
          </w:tcPr>
          <w:p w14:paraId="3421C3C1">
            <w:pPr>
              <w:widowControl/>
              <w:jc w:val="center"/>
              <w:rPr>
                <w:rFonts w:hint="eastAsia" w:ascii="宋体" w:hAnsi="宋体" w:eastAsia="宋体" w:cs="宋体"/>
                <w:sz w:val="32"/>
                <w:szCs w:val="32"/>
              </w:rPr>
            </w:pPr>
            <w:r>
              <w:rPr>
                <w:rFonts w:hint="eastAsia" w:ascii="宋体" w:hAnsi="宋体" w:eastAsia="宋体" w:cs="宋体"/>
                <w:sz w:val="32"/>
                <w:szCs w:val="32"/>
              </w:rPr>
              <w:t>2</w:t>
            </w:r>
          </w:p>
        </w:tc>
        <w:tc>
          <w:tcPr>
            <w:tcW w:w="7373" w:type="dxa"/>
            <w:tcBorders>
              <w:top w:val="single" w:color="auto" w:sz="4" w:space="0"/>
              <w:left w:val="nil"/>
              <w:bottom w:val="single" w:color="auto" w:sz="4" w:space="0"/>
              <w:right w:val="single" w:color="auto" w:sz="4" w:space="0"/>
            </w:tcBorders>
            <w:vAlign w:val="center"/>
          </w:tcPr>
          <w:p w14:paraId="0CB9809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32"/>
                <w:szCs w:val="32"/>
              </w:rPr>
            </w:pPr>
            <w:r>
              <w:rPr>
                <w:rFonts w:hint="eastAsia" w:ascii="宋体" w:hAnsi="宋体" w:eastAsia="宋体" w:cs="宋体"/>
                <w:sz w:val="32"/>
                <w:szCs w:val="32"/>
              </w:rPr>
              <w:t xml:space="preserve">服务方完成全部检查工作后须按时出具职业健康检查个体报告、汇总报告，不得无故拖延。 </w:t>
            </w:r>
          </w:p>
        </w:tc>
      </w:tr>
      <w:tr w14:paraId="22C55337">
        <w:tblPrEx>
          <w:tblCellMar>
            <w:top w:w="0" w:type="dxa"/>
            <w:left w:w="108" w:type="dxa"/>
            <w:bottom w:w="0" w:type="dxa"/>
            <w:right w:w="108" w:type="dxa"/>
          </w:tblCellMar>
        </w:tblPrEx>
        <w:trPr>
          <w:trHeight w:val="773"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785073A3">
            <w:pPr>
              <w:widowControl/>
              <w:jc w:val="center"/>
              <w:rPr>
                <w:rFonts w:hint="eastAsia" w:ascii="宋体" w:hAnsi="宋体" w:eastAsia="宋体" w:cs="宋体"/>
                <w:sz w:val="32"/>
                <w:szCs w:val="32"/>
              </w:rPr>
            </w:pPr>
          </w:p>
        </w:tc>
        <w:tc>
          <w:tcPr>
            <w:tcW w:w="1001" w:type="dxa"/>
            <w:tcBorders>
              <w:top w:val="single" w:color="auto" w:sz="4" w:space="0"/>
              <w:left w:val="nil"/>
              <w:bottom w:val="single" w:color="auto" w:sz="4" w:space="0"/>
              <w:right w:val="single" w:color="auto" w:sz="4" w:space="0"/>
            </w:tcBorders>
            <w:vAlign w:val="center"/>
          </w:tcPr>
          <w:p w14:paraId="7074E88B">
            <w:pPr>
              <w:widowControl/>
              <w:jc w:val="center"/>
              <w:rPr>
                <w:rFonts w:hint="eastAsia" w:ascii="宋体" w:hAnsi="宋体" w:eastAsia="宋体" w:cs="宋体"/>
                <w:sz w:val="32"/>
                <w:szCs w:val="32"/>
              </w:rPr>
            </w:pPr>
            <w:r>
              <w:rPr>
                <w:rFonts w:hint="eastAsia" w:ascii="宋体" w:hAnsi="宋体" w:eastAsia="宋体" w:cs="宋体"/>
                <w:sz w:val="32"/>
                <w:szCs w:val="32"/>
              </w:rPr>
              <w:t>3</w:t>
            </w:r>
          </w:p>
        </w:tc>
        <w:tc>
          <w:tcPr>
            <w:tcW w:w="7373" w:type="dxa"/>
            <w:tcBorders>
              <w:top w:val="single" w:color="auto" w:sz="4" w:space="0"/>
              <w:left w:val="nil"/>
              <w:bottom w:val="single" w:color="auto" w:sz="4" w:space="0"/>
              <w:right w:val="single" w:color="auto" w:sz="4" w:space="0"/>
            </w:tcBorders>
            <w:vAlign w:val="center"/>
          </w:tcPr>
          <w:p w14:paraId="2D35BA7B">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32"/>
                <w:szCs w:val="32"/>
              </w:rPr>
            </w:pPr>
            <w:r>
              <w:rPr>
                <w:rFonts w:hint="eastAsia" w:ascii="宋体" w:hAnsi="宋体" w:eastAsia="宋体" w:cs="宋体"/>
                <w:sz w:val="32"/>
                <w:szCs w:val="32"/>
              </w:rPr>
              <w:t xml:space="preserve">服务方须对我院提供的全部资料、受检人员个人健康隐私、商业及技术机密严格保密；对职业健康检查报告的准确、客观、有效性负全部责任，如出现报告虚假、错项、漏项，全部责任由服务方承担。 </w:t>
            </w:r>
          </w:p>
        </w:tc>
      </w:tr>
      <w:tr w14:paraId="749992A2">
        <w:tblPrEx>
          <w:tblCellMar>
            <w:top w:w="0" w:type="dxa"/>
            <w:left w:w="108" w:type="dxa"/>
            <w:bottom w:w="0" w:type="dxa"/>
            <w:right w:w="108" w:type="dxa"/>
          </w:tblCellMar>
        </w:tblPrEx>
        <w:trPr>
          <w:trHeight w:val="773"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2B7BCBED">
            <w:pPr>
              <w:widowControl/>
              <w:jc w:val="center"/>
              <w:rPr>
                <w:rFonts w:hint="eastAsia" w:ascii="宋体" w:hAnsi="宋体" w:eastAsia="宋体" w:cs="宋体"/>
                <w:sz w:val="32"/>
                <w:szCs w:val="32"/>
                <w:lang w:val="en-US" w:eastAsia="zh-CN"/>
              </w:rPr>
            </w:pPr>
          </w:p>
        </w:tc>
        <w:tc>
          <w:tcPr>
            <w:tcW w:w="1001" w:type="dxa"/>
            <w:tcBorders>
              <w:top w:val="single" w:color="auto" w:sz="4" w:space="0"/>
              <w:left w:val="nil"/>
              <w:bottom w:val="single" w:color="auto" w:sz="4" w:space="0"/>
              <w:right w:val="single" w:color="auto" w:sz="4" w:space="0"/>
            </w:tcBorders>
            <w:vAlign w:val="center"/>
          </w:tcPr>
          <w:p w14:paraId="55A524EB">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w:t>
            </w:r>
          </w:p>
        </w:tc>
        <w:tc>
          <w:tcPr>
            <w:tcW w:w="7373" w:type="dxa"/>
            <w:tcBorders>
              <w:top w:val="single" w:color="auto" w:sz="4" w:space="0"/>
              <w:left w:val="nil"/>
              <w:bottom w:val="single" w:color="auto" w:sz="4" w:space="0"/>
              <w:right w:val="single" w:color="auto" w:sz="4" w:space="0"/>
            </w:tcBorders>
            <w:vAlign w:val="center"/>
          </w:tcPr>
          <w:p w14:paraId="3FB1505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32"/>
                <w:szCs w:val="32"/>
              </w:rPr>
            </w:pPr>
            <w:r>
              <w:rPr>
                <w:rFonts w:hint="eastAsia" w:ascii="宋体" w:hAnsi="宋体" w:eastAsia="宋体" w:cs="宋体"/>
                <w:sz w:val="32"/>
                <w:szCs w:val="32"/>
              </w:rPr>
              <w:t>严格做好受检人员健康信息数据管理，健康数据仅用于本项目职业健康监护，不得私自留存、外传、挪作其他用途，发生信息</w:t>
            </w:r>
            <w:r>
              <w:rPr>
                <w:rFonts w:hint="eastAsia" w:ascii="宋体" w:hAnsi="宋体" w:eastAsia="宋体" w:cs="宋体"/>
                <w:sz w:val="32"/>
                <w:szCs w:val="32"/>
                <w:lang w:eastAsia="zh-CN"/>
              </w:rPr>
              <w:t>泄漏</w:t>
            </w:r>
            <w:r>
              <w:rPr>
                <w:rFonts w:hint="eastAsia" w:ascii="宋体" w:hAnsi="宋体" w:eastAsia="宋体" w:cs="宋体"/>
                <w:sz w:val="32"/>
                <w:szCs w:val="32"/>
              </w:rPr>
              <w:t xml:space="preserve">由乙方承担全部法律及赔偿责任。 </w:t>
            </w:r>
          </w:p>
        </w:tc>
      </w:tr>
      <w:tr w14:paraId="64133439">
        <w:tblPrEx>
          <w:tblCellMar>
            <w:top w:w="0" w:type="dxa"/>
            <w:left w:w="108" w:type="dxa"/>
            <w:bottom w:w="0" w:type="dxa"/>
            <w:right w:w="108" w:type="dxa"/>
          </w:tblCellMar>
        </w:tblPrEx>
        <w:trPr>
          <w:trHeight w:val="773" w:hRule="atLeast"/>
          <w:jc w:val="center"/>
        </w:trPr>
        <w:tc>
          <w:tcPr>
            <w:tcW w:w="10411" w:type="dxa"/>
            <w:gridSpan w:val="3"/>
            <w:tcBorders>
              <w:top w:val="single" w:color="auto" w:sz="4" w:space="0"/>
              <w:left w:val="single" w:color="auto" w:sz="4" w:space="0"/>
              <w:bottom w:val="single" w:color="auto" w:sz="4" w:space="0"/>
              <w:right w:val="single" w:color="auto" w:sz="4" w:space="0"/>
            </w:tcBorders>
            <w:vAlign w:val="center"/>
          </w:tcPr>
          <w:p w14:paraId="15A47356">
            <w:pPr>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注：技术参数中标“★”项为主要技术参数，任意1条不满足则导致响应无效。</w:t>
            </w:r>
          </w:p>
        </w:tc>
      </w:tr>
    </w:tbl>
    <w:p w14:paraId="7E4A782E">
      <w:pPr>
        <w:rPr>
          <w:rFonts w:hint="default" w:ascii="仿宋_GB2312" w:hAnsi="仿宋_GB2312" w:eastAsia="仿宋_GB2312" w:cs="仿宋_GB2312"/>
          <w:sz w:val="32"/>
          <w:szCs w:val="32"/>
          <w:lang w:val="en-US" w:eastAsia="zh-CN"/>
        </w:rPr>
      </w:pPr>
    </w:p>
    <w:p w14:paraId="353195EC">
      <w:pPr>
        <w:rPr>
          <w:rFonts w:hint="default" w:ascii="仿宋_GB2312" w:hAnsi="仿宋_GB2312" w:eastAsia="仿宋_GB2312" w:cs="仿宋_GB2312"/>
          <w:sz w:val="32"/>
          <w:szCs w:val="32"/>
          <w:lang w:val="en-US" w:eastAsia="zh-CN"/>
        </w:rPr>
      </w:pPr>
    </w:p>
    <w:p w14:paraId="3C732687">
      <w:pPr>
        <w:rPr>
          <w:rFonts w:hint="default" w:ascii="仿宋_GB2312" w:hAnsi="仿宋_GB2312" w:eastAsia="仿宋_GB2312" w:cs="仿宋_GB2312"/>
          <w:sz w:val="32"/>
          <w:szCs w:val="32"/>
          <w:lang w:val="en-US" w:eastAsia="zh-CN"/>
        </w:rPr>
      </w:pPr>
    </w:p>
    <w:p w14:paraId="58305882">
      <w:pPr>
        <w:rPr>
          <w:rFonts w:hint="default" w:ascii="仿宋_GB2312" w:hAnsi="仿宋_GB2312" w:eastAsia="仿宋_GB2312" w:cs="仿宋_GB2312"/>
          <w:sz w:val="32"/>
          <w:szCs w:val="32"/>
          <w:lang w:val="en-US" w:eastAsia="zh-CN"/>
        </w:rPr>
      </w:pPr>
    </w:p>
    <w:p w14:paraId="334D324C">
      <w:pPr>
        <w:rPr>
          <w:rFonts w:hint="default" w:ascii="仿宋_GB2312" w:hAnsi="仿宋_GB2312" w:eastAsia="仿宋_GB2312" w:cs="仿宋_GB2312"/>
          <w:sz w:val="32"/>
          <w:szCs w:val="32"/>
          <w:lang w:val="en-US" w:eastAsia="zh-CN"/>
        </w:rPr>
      </w:pPr>
    </w:p>
    <w:p w14:paraId="4015ACCC">
      <w:pPr>
        <w:rPr>
          <w:rFonts w:hint="default" w:ascii="仿宋_GB2312" w:hAnsi="仿宋_GB2312" w:eastAsia="仿宋_GB2312" w:cs="仿宋_GB2312"/>
          <w:sz w:val="32"/>
          <w:szCs w:val="32"/>
          <w:lang w:val="en-US" w:eastAsia="zh-CN"/>
        </w:rPr>
      </w:pPr>
    </w:p>
    <w:p w14:paraId="3A30BF1D">
      <w:pPr>
        <w:rPr>
          <w:rFonts w:hint="default" w:ascii="仿宋_GB2312" w:hAnsi="仿宋_GB2312" w:eastAsia="仿宋_GB2312" w:cs="仿宋_GB2312"/>
          <w:sz w:val="32"/>
          <w:szCs w:val="32"/>
          <w:lang w:val="en-US" w:eastAsia="zh-CN"/>
        </w:rPr>
      </w:pPr>
    </w:p>
    <w:p w14:paraId="6C8BDD36">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98826E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960" w:firstLineChars="4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入场服务时间</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D6B5D9-B9B6-4A93-8249-B158AD1251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2" w:fontKey="{A322DC57-5E7D-4A91-A3D0-4E47563ACA38}"/>
  </w:font>
  <w:font w:name="Calibri Light">
    <w:panose1 w:val="020F0302020204030204"/>
    <w:charset w:val="00"/>
    <w:family w:val="auto"/>
    <w:pitch w:val="default"/>
    <w:sig w:usb0="E4002EFF" w:usb1="C200247B" w:usb2="00000009" w:usb3="00000000" w:csb0="200001FF" w:csb1="00000000"/>
    <w:embedRegular r:id="rId3" w:fontKey="{E51278B7-3A50-499F-A57F-FC70E5B343C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4" w:fontKey="{C76E8C04-F307-46B4-934B-B51955E659C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C059CD"/>
    <w:rsid w:val="060F2F14"/>
    <w:rsid w:val="06B07F83"/>
    <w:rsid w:val="06F04422"/>
    <w:rsid w:val="07EE0F70"/>
    <w:rsid w:val="080A65A2"/>
    <w:rsid w:val="0CC91539"/>
    <w:rsid w:val="0DA07F51"/>
    <w:rsid w:val="0DAD62ED"/>
    <w:rsid w:val="0E9706B8"/>
    <w:rsid w:val="0F2440D7"/>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93C0F46"/>
    <w:rsid w:val="3B993DF9"/>
    <w:rsid w:val="3D527E27"/>
    <w:rsid w:val="3D634ED4"/>
    <w:rsid w:val="3E122A76"/>
    <w:rsid w:val="3E650D1D"/>
    <w:rsid w:val="3E9002A8"/>
    <w:rsid w:val="3F552A03"/>
    <w:rsid w:val="41277A66"/>
    <w:rsid w:val="41317562"/>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A17370E"/>
    <w:rsid w:val="5A3E44A5"/>
    <w:rsid w:val="5C344BB6"/>
    <w:rsid w:val="5CFE4042"/>
    <w:rsid w:val="5DFF20EB"/>
    <w:rsid w:val="5E1C5429"/>
    <w:rsid w:val="5ED418C8"/>
    <w:rsid w:val="5EF71E76"/>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2D2C6D"/>
    <w:rsid w:val="6F3911E0"/>
    <w:rsid w:val="6F5104C0"/>
    <w:rsid w:val="6F7A7F8F"/>
    <w:rsid w:val="704F20EA"/>
    <w:rsid w:val="70CD0FAF"/>
    <w:rsid w:val="710F0089"/>
    <w:rsid w:val="719B7B32"/>
    <w:rsid w:val="71DA20A9"/>
    <w:rsid w:val="723E077B"/>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22</Pages>
  <Words>39</Words>
  <Characters>43</Characters>
  <Lines>0</Lines>
  <Paragraphs>0</Paragraphs>
  <TotalTime>3</TotalTime>
  <ScaleCrop>false</ScaleCrop>
  <LinksUpToDate>false</LinksUpToDate>
  <CharactersWithSpaces>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2026-09-22T07:47:08Z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ACFF394B4F9D4393940130C620082676_13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