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29C0A451">
      <w:pPr>
        <w:pStyle w:val="14"/>
        <w:rPr>
          <w:rFonts w:hint="eastAsia"/>
          <w:lang w:val="en-US" w:eastAsia="zh-CN"/>
        </w:rPr>
      </w:pPr>
    </w:p>
    <w:p w14:paraId="573D04A4">
      <w:pPr>
        <w:rPr>
          <w:rFonts w:hint="eastAsia"/>
          <w:lang w:val="en-US" w:eastAsia="zh-CN"/>
        </w:rPr>
      </w:pPr>
    </w:p>
    <w:p w14:paraId="40D4F4C5">
      <w:pPr>
        <w:numPr>
          <w:ilvl w:val="0"/>
          <w:numId w:val="0"/>
        </w:numPr>
        <w:jc w:val="center"/>
        <w:rPr>
          <w:rFonts w:hint="eastAsia" w:ascii="黑体" w:hAnsi="黑体" w:eastAsia="黑体" w:cs="黑体"/>
          <w:b/>
          <w:bCs/>
          <w:sz w:val="36"/>
          <w:szCs w:val="36"/>
          <w:lang w:val="en-US" w:eastAsia="zh-CN"/>
        </w:rPr>
      </w:pPr>
    </w:p>
    <w:p w14:paraId="0652A7E0">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东胜部污水站污泥处置服务项目（二次）</w:t>
      </w: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2026年9月23日</w:t>
      </w:r>
    </w:p>
    <w:p w14:paraId="3DED3793">
      <w:pPr>
        <w:numPr>
          <w:ilvl w:val="0"/>
          <w:numId w:val="0"/>
        </w:numPr>
        <w:rPr>
          <w:rFonts w:hint="default"/>
          <w:b/>
          <w:bCs/>
          <w:sz w:val="28"/>
          <w:szCs w:val="28"/>
          <w:lang w:val="en-US" w:eastAsia="zh-CN"/>
        </w:rPr>
      </w:pPr>
      <w:r>
        <w:rPr>
          <w:rFonts w:hint="eastAsia"/>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6"/>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964"/>
        <w:gridCol w:w="1200"/>
        <w:gridCol w:w="1079"/>
        <w:gridCol w:w="1683"/>
        <w:gridCol w:w="1650"/>
      </w:tblGrid>
      <w:tr w14:paraId="6F6CDD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56C9F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2964" w:type="dxa"/>
            <w:vAlign w:val="center"/>
          </w:tcPr>
          <w:p w14:paraId="4CFCBD1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00" w:type="dxa"/>
            <w:vAlign w:val="center"/>
          </w:tcPr>
          <w:p w14:paraId="6236B51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079" w:type="dxa"/>
            <w:vAlign w:val="center"/>
          </w:tcPr>
          <w:p w14:paraId="4E06E5F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683" w:type="dxa"/>
            <w:vAlign w:val="center"/>
          </w:tcPr>
          <w:p w14:paraId="50C1FD3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预算单价</w:t>
            </w:r>
          </w:p>
        </w:tc>
        <w:tc>
          <w:tcPr>
            <w:tcW w:w="1650" w:type="dxa"/>
            <w:vAlign w:val="center"/>
          </w:tcPr>
          <w:p w14:paraId="7B8C3BD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57159A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29CB7F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2964" w:type="dxa"/>
            <w:vAlign w:val="center"/>
          </w:tcPr>
          <w:p w14:paraId="2E60C62A">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东胜部污水站污泥处置服务</w:t>
            </w:r>
          </w:p>
        </w:tc>
        <w:tc>
          <w:tcPr>
            <w:tcW w:w="1200" w:type="dxa"/>
            <w:vAlign w:val="center"/>
          </w:tcPr>
          <w:p w14:paraId="62CB256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吨</w:t>
            </w:r>
          </w:p>
        </w:tc>
        <w:tc>
          <w:tcPr>
            <w:tcW w:w="1079" w:type="dxa"/>
            <w:vAlign w:val="center"/>
          </w:tcPr>
          <w:p w14:paraId="766DD682">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10</w:t>
            </w:r>
          </w:p>
        </w:tc>
        <w:tc>
          <w:tcPr>
            <w:tcW w:w="1683" w:type="dxa"/>
            <w:vAlign w:val="center"/>
          </w:tcPr>
          <w:p w14:paraId="4C2F8BE2">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11000</w:t>
            </w:r>
          </w:p>
        </w:tc>
        <w:tc>
          <w:tcPr>
            <w:tcW w:w="1650" w:type="dxa"/>
            <w:vAlign w:val="center"/>
          </w:tcPr>
          <w:p w14:paraId="722E36E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110000</w:t>
            </w:r>
          </w:p>
        </w:tc>
      </w:tr>
      <w:tr w14:paraId="3C3A0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4954B21">
            <w:pPr>
              <w:widowControl/>
              <w:jc w:val="center"/>
              <w:textAlignment w:val="center"/>
              <w:rPr>
                <w:rFonts w:hint="eastAsia" w:ascii="宋体" w:hAnsi="宋体" w:eastAsia="宋体" w:cs="宋体"/>
                <w:kern w:val="0"/>
                <w:sz w:val="28"/>
                <w:szCs w:val="28"/>
                <w:lang w:val="en-US" w:eastAsia="zh-CN"/>
              </w:rPr>
            </w:pPr>
          </w:p>
        </w:tc>
        <w:tc>
          <w:tcPr>
            <w:tcW w:w="6926" w:type="dxa"/>
            <w:gridSpan w:val="4"/>
            <w:vAlign w:val="center"/>
          </w:tcPr>
          <w:p w14:paraId="36C61A2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1650" w:type="dxa"/>
            <w:vAlign w:val="center"/>
          </w:tcPr>
          <w:p w14:paraId="45486446">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110000</w:t>
            </w:r>
          </w:p>
        </w:tc>
      </w:tr>
      <w:tr w14:paraId="05AF3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553ACF6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964" w:type="dxa"/>
            <w:vAlign w:val="center"/>
          </w:tcPr>
          <w:p w14:paraId="4EF2D55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入场时间</w:t>
            </w:r>
          </w:p>
        </w:tc>
        <w:tc>
          <w:tcPr>
            <w:tcW w:w="5612" w:type="dxa"/>
            <w:gridSpan w:val="4"/>
            <w:vAlign w:val="center"/>
          </w:tcPr>
          <w:p w14:paraId="78425ECA">
            <w:pPr>
              <w:widowControl/>
              <w:jc w:val="center"/>
              <w:textAlignment w:val="center"/>
              <w:rPr>
                <w:rFonts w:hint="default" w:ascii="宋体" w:hAnsi="宋体" w:eastAsia="宋体" w:cs="宋体"/>
                <w:kern w:val="0"/>
                <w:sz w:val="28"/>
                <w:szCs w:val="28"/>
                <w:lang w:val="en-US" w:eastAsia="zh-CN"/>
              </w:rPr>
            </w:pPr>
            <w:r>
              <w:rPr>
                <w:rFonts w:hint="eastAsia" w:ascii="仿宋" w:hAnsi="仿宋" w:eastAsia="仿宋" w:cs="仿宋"/>
                <w:kern w:val="0"/>
                <w:sz w:val="32"/>
                <w:szCs w:val="32"/>
                <w:lang w:val="en-US" w:eastAsia="zh-CN"/>
              </w:rPr>
              <w:t>合同签订后30日内</w:t>
            </w:r>
          </w:p>
        </w:tc>
      </w:tr>
      <w:tr w14:paraId="5B456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0451DB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964" w:type="dxa"/>
            <w:vAlign w:val="center"/>
          </w:tcPr>
          <w:p w14:paraId="6CA7D93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服务期</w:t>
            </w:r>
          </w:p>
        </w:tc>
        <w:tc>
          <w:tcPr>
            <w:tcW w:w="5612" w:type="dxa"/>
            <w:gridSpan w:val="4"/>
            <w:vAlign w:val="center"/>
          </w:tcPr>
          <w:p w14:paraId="37D0280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1年</w:t>
            </w:r>
          </w:p>
        </w:tc>
      </w:tr>
      <w:tr w14:paraId="51330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1091" w:type="dxa"/>
            <w:vAlign w:val="center"/>
          </w:tcPr>
          <w:p w14:paraId="6787E74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964" w:type="dxa"/>
            <w:vAlign w:val="center"/>
          </w:tcPr>
          <w:p w14:paraId="70F8970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612" w:type="dxa"/>
            <w:gridSpan w:val="4"/>
            <w:vAlign w:val="center"/>
          </w:tcPr>
          <w:p w14:paraId="0435FF3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处置完毕后，根据实际处置量据实结算。</w:t>
            </w:r>
          </w:p>
        </w:tc>
      </w:tr>
      <w:tr w14:paraId="17868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3DF952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964" w:type="dxa"/>
            <w:vAlign w:val="center"/>
          </w:tcPr>
          <w:p w14:paraId="59711EB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交付地点</w:t>
            </w:r>
          </w:p>
        </w:tc>
        <w:tc>
          <w:tcPr>
            <w:tcW w:w="5612" w:type="dxa"/>
            <w:gridSpan w:val="4"/>
            <w:vAlign w:val="center"/>
          </w:tcPr>
          <w:p w14:paraId="62831230">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鄂尔多斯市中心医院东胜部</w:t>
            </w:r>
          </w:p>
        </w:tc>
      </w:tr>
      <w:tr w14:paraId="0FDD30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48557A47">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2964" w:type="dxa"/>
            <w:vAlign w:val="center"/>
          </w:tcPr>
          <w:p w14:paraId="599B15C1">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5612" w:type="dxa"/>
            <w:gridSpan w:val="4"/>
            <w:vAlign w:val="center"/>
          </w:tcPr>
          <w:p w14:paraId="55B8BDB1">
            <w:pPr>
              <w:widowControl/>
              <w:jc w:val="left"/>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 xml:space="preserve">获得危险废物经营许可证（核准经营危险废物类别:医疗废物HW01，感染性废物841-001-01) </w:t>
            </w:r>
          </w:p>
        </w:tc>
      </w:tr>
    </w:tbl>
    <w:p w14:paraId="03D71F65">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r>
        <w:rPr>
          <w:rFonts w:hint="eastAsia" w:hAnsi="宋体"/>
          <w:sz w:val="24"/>
          <w:szCs w:val="24"/>
          <w:lang w:val="en-US" w:eastAsia="zh-CN"/>
        </w:rPr>
        <w:t xml:space="preserve">  </w:t>
      </w:r>
    </w:p>
    <w:p w14:paraId="604CA2B2">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366648C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32"/>
          <w:szCs w:val="32"/>
          <w:u w:val="single"/>
        </w:rPr>
      </w:pPr>
      <w:r>
        <w:rPr>
          <w:rFonts w:hint="eastAsia" w:ascii="仿宋" w:hAnsi="仿宋" w:eastAsia="仿宋" w:cs="仿宋"/>
          <w:sz w:val="32"/>
          <w:szCs w:val="32"/>
          <w:lang w:val="en-US" w:eastAsia="zh-CN"/>
        </w:rPr>
        <w:t>（一）</w:t>
      </w:r>
      <w:r>
        <w:rPr>
          <w:rFonts w:hint="eastAsia" w:ascii="仿宋" w:hAnsi="仿宋" w:eastAsia="仿宋" w:cs="仿宋"/>
          <w:sz w:val="32"/>
          <w:szCs w:val="32"/>
        </w:rPr>
        <w:t>项目基本情况介绍：</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东胜部污水站污泥处置服务主要包括：污泥处置服务、污泥脱水服务、污泥转运服务。污泥处置量为10吨</w:t>
      </w:r>
      <w:r>
        <w:rPr>
          <w:rFonts w:hint="eastAsia" w:ascii="仿宋" w:hAnsi="仿宋" w:eastAsia="仿宋" w:cs="仿宋"/>
          <w:sz w:val="32"/>
          <w:szCs w:val="32"/>
          <w:u w:val="single"/>
        </w:rPr>
        <w:t xml:space="preserve">   。</w:t>
      </w:r>
    </w:p>
    <w:p w14:paraId="75CA7EFA">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sz w:val="32"/>
          <w:szCs w:val="32"/>
          <w:u w:val="single"/>
        </w:rPr>
      </w:pPr>
      <w:r>
        <w:rPr>
          <w:rFonts w:hint="eastAsia" w:ascii="仿宋" w:hAnsi="仿宋" w:eastAsia="仿宋" w:cs="仿宋"/>
          <w:sz w:val="32"/>
          <w:szCs w:val="32"/>
          <w:lang w:val="en-US" w:eastAsia="zh-CN"/>
        </w:rPr>
        <w:t>（二）</w:t>
      </w:r>
      <w:r>
        <w:rPr>
          <w:rFonts w:hint="eastAsia" w:ascii="仿宋" w:hAnsi="仿宋" w:eastAsia="仿宋" w:cs="仿宋"/>
          <w:sz w:val="32"/>
          <w:szCs w:val="32"/>
        </w:rPr>
        <w:t>技术参数和要求（功能和质量）</w:t>
      </w:r>
    </w:p>
    <w:tbl>
      <w:tblPr>
        <w:tblStyle w:val="15"/>
        <w:tblW w:w="9810" w:type="dxa"/>
        <w:jc w:val="center"/>
        <w:tblLayout w:type="fixed"/>
        <w:tblCellMar>
          <w:top w:w="0" w:type="dxa"/>
          <w:left w:w="108" w:type="dxa"/>
          <w:bottom w:w="0" w:type="dxa"/>
          <w:right w:w="108" w:type="dxa"/>
        </w:tblCellMar>
      </w:tblPr>
      <w:tblGrid>
        <w:gridCol w:w="1555"/>
        <w:gridCol w:w="1134"/>
        <w:gridCol w:w="7121"/>
      </w:tblGrid>
      <w:tr w14:paraId="7E759BFE">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62AC71">
            <w:pPr>
              <w:widowControl/>
              <w:jc w:val="center"/>
              <w:rPr>
                <w:rFonts w:hint="eastAsia" w:ascii="仿宋" w:hAnsi="仿宋" w:eastAsia="仿宋" w:cs="仿宋"/>
                <w:sz w:val="32"/>
                <w:szCs w:val="32"/>
              </w:rPr>
            </w:pPr>
            <w:r>
              <w:rPr>
                <w:rFonts w:hint="eastAsia" w:ascii="仿宋" w:hAnsi="仿宋" w:eastAsia="仿宋" w:cs="仿宋"/>
                <w:sz w:val="32"/>
                <w:szCs w:val="32"/>
              </w:rPr>
              <w:t>参数性质</w:t>
            </w:r>
          </w:p>
        </w:tc>
        <w:tc>
          <w:tcPr>
            <w:tcW w:w="1134" w:type="dxa"/>
            <w:tcBorders>
              <w:top w:val="single" w:color="auto" w:sz="4" w:space="0"/>
              <w:left w:val="nil"/>
              <w:bottom w:val="single" w:color="auto" w:sz="4" w:space="0"/>
              <w:right w:val="single" w:color="auto" w:sz="4" w:space="0"/>
            </w:tcBorders>
            <w:vAlign w:val="center"/>
          </w:tcPr>
          <w:p w14:paraId="247E3B3A">
            <w:pPr>
              <w:widowControl/>
              <w:jc w:val="center"/>
              <w:rPr>
                <w:rFonts w:hint="eastAsia" w:ascii="仿宋" w:hAnsi="仿宋" w:eastAsia="仿宋" w:cs="仿宋"/>
                <w:sz w:val="32"/>
                <w:szCs w:val="32"/>
              </w:rPr>
            </w:pPr>
            <w:r>
              <w:rPr>
                <w:rFonts w:hint="eastAsia" w:ascii="仿宋" w:hAnsi="仿宋" w:eastAsia="仿宋" w:cs="仿宋"/>
                <w:sz w:val="32"/>
                <w:szCs w:val="32"/>
              </w:rPr>
              <w:t>编号</w:t>
            </w:r>
          </w:p>
        </w:tc>
        <w:tc>
          <w:tcPr>
            <w:tcW w:w="7121" w:type="dxa"/>
            <w:tcBorders>
              <w:top w:val="single" w:color="auto" w:sz="4" w:space="0"/>
              <w:left w:val="nil"/>
              <w:bottom w:val="single" w:color="auto" w:sz="4" w:space="0"/>
              <w:right w:val="single" w:color="auto" w:sz="4" w:space="0"/>
            </w:tcBorders>
            <w:vAlign w:val="center"/>
          </w:tcPr>
          <w:p w14:paraId="19B2E130">
            <w:pPr>
              <w:widowControl/>
              <w:jc w:val="center"/>
              <w:rPr>
                <w:rFonts w:hint="eastAsia" w:ascii="仿宋" w:hAnsi="仿宋" w:eastAsia="仿宋" w:cs="仿宋"/>
                <w:sz w:val="32"/>
                <w:szCs w:val="32"/>
              </w:rPr>
            </w:pPr>
            <w:r>
              <w:rPr>
                <w:rFonts w:hint="eastAsia" w:ascii="仿宋" w:hAnsi="仿宋" w:eastAsia="仿宋" w:cs="仿宋"/>
                <w:sz w:val="32"/>
                <w:szCs w:val="32"/>
              </w:rPr>
              <w:t>技术参数和要求</w:t>
            </w:r>
          </w:p>
        </w:tc>
      </w:tr>
      <w:tr w14:paraId="3766A3F1">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0EE49E7">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5095C250">
            <w:pPr>
              <w:widowControl/>
              <w:jc w:val="center"/>
              <w:rPr>
                <w:rFonts w:hint="eastAsia" w:ascii="仿宋" w:hAnsi="仿宋" w:eastAsia="仿宋" w:cs="仿宋"/>
                <w:sz w:val="32"/>
                <w:szCs w:val="32"/>
              </w:rPr>
            </w:pPr>
            <w:r>
              <w:rPr>
                <w:rFonts w:hint="eastAsia" w:ascii="仿宋" w:hAnsi="仿宋" w:eastAsia="仿宋" w:cs="仿宋"/>
                <w:sz w:val="32"/>
                <w:szCs w:val="32"/>
              </w:rPr>
              <w:t>1</w:t>
            </w:r>
          </w:p>
        </w:tc>
        <w:tc>
          <w:tcPr>
            <w:tcW w:w="7121" w:type="dxa"/>
            <w:tcBorders>
              <w:top w:val="single" w:color="auto" w:sz="4" w:space="0"/>
              <w:left w:val="nil"/>
              <w:bottom w:val="single" w:color="auto" w:sz="4" w:space="0"/>
              <w:right w:val="single" w:color="auto" w:sz="4" w:space="0"/>
            </w:tcBorders>
            <w:shd w:val="clear" w:color="auto" w:fill="FFFFFF"/>
            <w:vAlign w:val="center"/>
          </w:tcPr>
          <w:p w14:paraId="72A64B65">
            <w:pPr>
              <w:widowControl/>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eastAsia="zh-CN"/>
              </w:rPr>
              <w:t>投标人应当制定与危险废物安全处置有关的规章制度和在发生意外事故时的应急方案，设置监控部门或专（兼职）人员，负责检查、督促落实危险废物的管理工作。</w:t>
            </w:r>
          </w:p>
        </w:tc>
      </w:tr>
      <w:tr w14:paraId="4387962C">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AC2971">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22BECC8A">
            <w:pPr>
              <w:widowControl/>
              <w:jc w:val="center"/>
              <w:rPr>
                <w:rFonts w:hint="eastAsia" w:ascii="仿宋" w:hAnsi="仿宋" w:eastAsia="仿宋" w:cs="仿宋"/>
                <w:sz w:val="32"/>
                <w:szCs w:val="32"/>
              </w:rPr>
            </w:pPr>
            <w:r>
              <w:rPr>
                <w:rFonts w:hint="eastAsia" w:ascii="仿宋" w:hAnsi="仿宋" w:eastAsia="仿宋" w:cs="仿宋"/>
                <w:sz w:val="32"/>
                <w:szCs w:val="32"/>
              </w:rPr>
              <w:t>2</w:t>
            </w:r>
          </w:p>
        </w:tc>
        <w:tc>
          <w:tcPr>
            <w:tcW w:w="7121" w:type="dxa"/>
            <w:tcBorders>
              <w:top w:val="single" w:color="auto" w:sz="4" w:space="0"/>
              <w:left w:val="nil"/>
              <w:bottom w:val="single" w:color="auto" w:sz="4" w:space="0"/>
              <w:right w:val="single" w:color="auto" w:sz="4" w:space="0"/>
            </w:tcBorders>
            <w:shd w:val="clear" w:color="auto" w:fill="FFFFFF"/>
            <w:vAlign w:val="center"/>
          </w:tcPr>
          <w:p w14:paraId="08FC5895">
            <w:pPr>
              <w:widowControl/>
              <w:jc w:val="both"/>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投标人应当对本项目从事危险废物收集、运输、贮存、处置等工作人员进行相关法律和专业技术、安全防护以及应急处理等知识的培训。配备必要的防</w:t>
            </w:r>
          </w:p>
          <w:p w14:paraId="72D64CE8">
            <w:pPr>
              <w:widowControl/>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eastAsia="zh-CN"/>
              </w:rPr>
              <w:t>护用品，定期进行健康检查，防止工作人员健康受到损害。</w:t>
            </w:r>
          </w:p>
        </w:tc>
      </w:tr>
      <w:tr w14:paraId="0252D9D0">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70DEE2">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7AB7CE32">
            <w:pPr>
              <w:widowControl/>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w:t>
            </w:r>
          </w:p>
        </w:tc>
        <w:tc>
          <w:tcPr>
            <w:tcW w:w="7121" w:type="dxa"/>
            <w:tcBorders>
              <w:top w:val="single" w:color="auto" w:sz="4" w:space="0"/>
              <w:left w:val="nil"/>
              <w:bottom w:val="single" w:color="auto" w:sz="4" w:space="0"/>
              <w:right w:val="single" w:color="auto" w:sz="4" w:space="0"/>
            </w:tcBorders>
            <w:shd w:val="clear" w:color="auto" w:fill="FFFFFF"/>
            <w:vAlign w:val="top"/>
          </w:tcPr>
          <w:p w14:paraId="33A65841">
            <w:pPr>
              <w:ind w:left="0" w:leftChars="0" w:firstLine="0" w:firstLineChars="0"/>
              <w:jc w:val="both"/>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污泥脱水过程中所需消毒剂、混凝剂、絮凝剂等药剂，由投标人提供。</w:t>
            </w:r>
          </w:p>
        </w:tc>
      </w:tr>
      <w:tr w14:paraId="013FD3B5">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189E5471">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402381C2">
            <w:pPr>
              <w:widowControl/>
              <w:jc w:val="center"/>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p>
        </w:tc>
        <w:tc>
          <w:tcPr>
            <w:tcW w:w="7121" w:type="dxa"/>
            <w:tcBorders>
              <w:top w:val="single" w:color="auto" w:sz="4" w:space="0"/>
              <w:left w:val="nil"/>
              <w:bottom w:val="single" w:color="auto" w:sz="4" w:space="0"/>
              <w:right w:val="single" w:color="auto" w:sz="4" w:space="0"/>
            </w:tcBorders>
            <w:shd w:val="clear" w:color="auto" w:fill="FFFFFF"/>
            <w:vAlign w:val="top"/>
          </w:tcPr>
          <w:p w14:paraId="41AD1A0C">
            <w:pPr>
              <w:ind w:left="0" w:leftChars="0" w:firstLine="0" w:firstLineChars="0"/>
              <w:jc w:val="both"/>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投标人自行配置车辆驾驶员、危险废物转运车、污泥脱水车、吸污车及相关设备，对转运车辆及时消毒和清洁，危险废物转运车应当达到防渗漏、防遗</w:t>
            </w:r>
          </w:p>
          <w:p w14:paraId="21157627">
            <w:pPr>
              <w:ind w:left="0" w:leftChars="0" w:firstLine="0" w:firstLineChars="0"/>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eastAsia="zh-CN"/>
              </w:rPr>
              <w:t>撒以及其他环境保护和卫生要求，以及生态环境局管理要求。</w:t>
            </w:r>
          </w:p>
        </w:tc>
      </w:tr>
      <w:tr w14:paraId="39310A15">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5AFCDDC8">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23EFAA39">
            <w:pPr>
              <w:widowControl/>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w:t>
            </w:r>
          </w:p>
        </w:tc>
        <w:tc>
          <w:tcPr>
            <w:tcW w:w="7121" w:type="dxa"/>
            <w:tcBorders>
              <w:top w:val="single" w:color="auto" w:sz="4" w:space="0"/>
              <w:left w:val="nil"/>
              <w:bottom w:val="single" w:color="auto" w:sz="4" w:space="0"/>
              <w:right w:val="single" w:color="auto" w:sz="4" w:space="0"/>
            </w:tcBorders>
            <w:shd w:val="clear" w:color="auto" w:fill="FFFFFF"/>
            <w:vAlign w:val="center"/>
          </w:tcPr>
          <w:p w14:paraId="6886EFEA">
            <w:pPr>
              <w:widowControl/>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eastAsia="zh-CN"/>
              </w:rPr>
              <w:t>转</w:t>
            </w:r>
            <w:r>
              <w:rPr>
                <w:rFonts w:hint="eastAsia" w:ascii="仿宋" w:hAnsi="仿宋" w:eastAsia="仿宋" w:cs="仿宋"/>
                <w:color w:val="000000"/>
                <w:kern w:val="2"/>
                <w:sz w:val="32"/>
                <w:szCs w:val="32"/>
                <w:lang w:val="en-US" w:eastAsia="zh-CN" w:bidi="ar-SA"/>
              </w:rPr>
              <w:t>运过程中，由于危险废物转运车辆产生的事故，以及投标人收集、运输存放过程中管理不当导致医疗废物流失、泄漏、扩散等传染性事件及产生的费</w:t>
            </w:r>
          </w:p>
          <w:p w14:paraId="71C21B67">
            <w:pPr>
              <w:widowControl/>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用，由投标人负责。</w:t>
            </w:r>
          </w:p>
        </w:tc>
      </w:tr>
      <w:tr w14:paraId="3B1DDCEA">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B180084">
            <w:pPr>
              <w:widowControl/>
              <w:jc w:val="center"/>
              <w:rPr>
                <w:rFonts w:hint="eastAsia" w:ascii="仿宋" w:hAnsi="仿宋" w:eastAsia="仿宋" w:cs="仿宋"/>
                <w:sz w:val="32"/>
                <w:szCs w:val="32"/>
              </w:rPr>
            </w:pPr>
            <w:r>
              <w:rPr>
                <w:rFonts w:hint="eastAsia" w:ascii="宋体" w:hAnsi="宋体" w:eastAsia="宋体" w:cs="宋体"/>
                <w:sz w:val="32"/>
                <w:szCs w:val="32"/>
              </w:rPr>
              <w:t>★</w:t>
            </w:r>
          </w:p>
        </w:tc>
        <w:tc>
          <w:tcPr>
            <w:tcW w:w="1134" w:type="dxa"/>
            <w:tcBorders>
              <w:top w:val="single" w:color="auto" w:sz="4" w:space="0"/>
              <w:left w:val="nil"/>
              <w:bottom w:val="single" w:color="auto" w:sz="4" w:space="0"/>
              <w:right w:val="single" w:color="auto" w:sz="4" w:space="0"/>
            </w:tcBorders>
            <w:vAlign w:val="center"/>
          </w:tcPr>
          <w:p w14:paraId="01799FB1">
            <w:pPr>
              <w:widowControl/>
              <w:jc w:val="cente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6</w:t>
            </w:r>
          </w:p>
        </w:tc>
        <w:tc>
          <w:tcPr>
            <w:tcW w:w="7121" w:type="dxa"/>
            <w:tcBorders>
              <w:top w:val="single" w:color="auto" w:sz="4" w:space="0"/>
              <w:left w:val="nil"/>
              <w:bottom w:val="single" w:color="auto" w:sz="4" w:space="0"/>
              <w:right w:val="single" w:color="auto" w:sz="4" w:space="0"/>
            </w:tcBorders>
            <w:shd w:val="clear" w:color="auto" w:fill="FFFFFF"/>
            <w:vAlign w:val="center"/>
          </w:tcPr>
          <w:p w14:paraId="0D964C2E">
            <w:pPr>
              <w:ind w:left="0" w:leftChars="0" w:firstLine="0" w:firstLineChars="0"/>
              <w:jc w:val="left"/>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val="en-US" w:eastAsia="zh-CN"/>
              </w:rPr>
              <w:t>脱水后污泥需要48小时内进行转移处置，危险废物处置工艺应为焚烧工艺，并提供相关证明。</w:t>
            </w:r>
          </w:p>
        </w:tc>
      </w:tr>
      <w:tr w14:paraId="1A2FB654">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1256FB4D">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032EFF91">
            <w:pPr>
              <w:widowControl/>
              <w:jc w:val="cente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7</w:t>
            </w:r>
          </w:p>
        </w:tc>
        <w:tc>
          <w:tcPr>
            <w:tcW w:w="7121" w:type="dxa"/>
            <w:tcBorders>
              <w:top w:val="single" w:color="auto" w:sz="4" w:space="0"/>
              <w:left w:val="nil"/>
              <w:bottom w:val="single" w:color="auto" w:sz="4" w:space="0"/>
              <w:right w:val="single" w:color="auto" w:sz="4" w:space="0"/>
            </w:tcBorders>
            <w:shd w:val="clear" w:color="auto" w:fill="FFFFFF"/>
            <w:vAlign w:val="center"/>
          </w:tcPr>
          <w:p w14:paraId="55B429B5">
            <w:pPr>
              <w:ind w:left="0" w:leftChars="0" w:firstLine="0" w:firstLineChars="0"/>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val="en-US" w:eastAsia="zh-CN"/>
              </w:rPr>
              <w:t>转运开始时，由院方专职人员填报危险废物转移电子联单，投标人按转运要求在全国危险废物全过程环境管理信息系统中确认，</w:t>
            </w:r>
            <w:r>
              <w:rPr>
                <w:rFonts w:hint="eastAsia" w:ascii="仿宋" w:hAnsi="仿宋" w:eastAsia="仿宋" w:cs="仿宋"/>
                <w:color w:val="000000"/>
                <w:sz w:val="32"/>
                <w:szCs w:val="32"/>
                <w:lang w:eastAsia="zh-CN"/>
              </w:rPr>
              <w:t>必须按照危险废物集中处置规范及时处置</w:t>
            </w:r>
            <w:r>
              <w:rPr>
                <w:rFonts w:hint="eastAsia" w:ascii="仿宋" w:hAnsi="仿宋" w:eastAsia="仿宋" w:cs="仿宋"/>
                <w:color w:val="000000"/>
                <w:sz w:val="32"/>
                <w:szCs w:val="32"/>
                <w:lang w:val="en-US" w:eastAsia="zh-CN"/>
              </w:rPr>
              <w:t>危险废物</w:t>
            </w:r>
            <w:r>
              <w:rPr>
                <w:rFonts w:hint="eastAsia" w:ascii="仿宋" w:hAnsi="仿宋" w:eastAsia="仿宋" w:cs="仿宋"/>
                <w:color w:val="000000"/>
                <w:sz w:val="32"/>
                <w:szCs w:val="32"/>
                <w:lang w:eastAsia="zh-CN"/>
              </w:rPr>
              <w:t>废物，防止</w:t>
            </w:r>
            <w:r>
              <w:rPr>
                <w:rFonts w:hint="eastAsia" w:ascii="仿宋" w:hAnsi="仿宋" w:eastAsia="仿宋" w:cs="仿宋"/>
                <w:color w:val="000000"/>
                <w:sz w:val="32"/>
                <w:szCs w:val="32"/>
                <w:lang w:val="en-US" w:eastAsia="zh-CN"/>
              </w:rPr>
              <w:t>危险废物</w:t>
            </w:r>
            <w:r>
              <w:rPr>
                <w:rFonts w:hint="eastAsia" w:ascii="仿宋" w:hAnsi="仿宋" w:eastAsia="仿宋" w:cs="仿宋"/>
                <w:color w:val="000000"/>
                <w:sz w:val="32"/>
                <w:szCs w:val="32"/>
                <w:lang w:eastAsia="zh-CN"/>
              </w:rPr>
              <w:t>废物对环境造成污染。</w:t>
            </w:r>
            <w:r>
              <w:rPr>
                <w:rFonts w:hint="eastAsia" w:ascii="仿宋" w:hAnsi="仿宋" w:eastAsia="仿宋" w:cs="仿宋"/>
                <w:color w:val="000000"/>
                <w:sz w:val="32"/>
                <w:szCs w:val="32"/>
                <w:lang w:val="en-US" w:eastAsia="zh-CN"/>
              </w:rPr>
              <w:t>处置过后的污泥必须明确最终处置去向，填埋至危险废物填埋场。</w:t>
            </w:r>
          </w:p>
        </w:tc>
      </w:tr>
      <w:tr w14:paraId="7C681711">
        <w:tblPrEx>
          <w:tblCellMar>
            <w:top w:w="0" w:type="dxa"/>
            <w:left w:w="108" w:type="dxa"/>
            <w:bottom w:w="0" w:type="dxa"/>
            <w:right w:w="108" w:type="dxa"/>
          </w:tblCellMar>
        </w:tblPrEx>
        <w:trPr>
          <w:trHeight w:val="1849"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33EE1A7">
            <w:pPr>
              <w:widowControl/>
              <w:jc w:val="center"/>
              <w:rPr>
                <w:rFonts w:hint="eastAsia" w:ascii="仿宋" w:hAnsi="仿宋" w:eastAsia="仿宋" w:cs="仿宋"/>
                <w:sz w:val="32"/>
                <w:szCs w:val="32"/>
              </w:rPr>
            </w:pPr>
          </w:p>
        </w:tc>
        <w:tc>
          <w:tcPr>
            <w:tcW w:w="1134" w:type="dxa"/>
            <w:tcBorders>
              <w:top w:val="single" w:color="auto" w:sz="4" w:space="0"/>
              <w:left w:val="nil"/>
              <w:bottom w:val="single" w:color="auto" w:sz="4" w:space="0"/>
              <w:right w:val="single" w:color="auto" w:sz="4" w:space="0"/>
            </w:tcBorders>
            <w:vAlign w:val="center"/>
          </w:tcPr>
          <w:p w14:paraId="6DE2C312">
            <w:pPr>
              <w:widowControl/>
              <w:jc w:val="cente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8</w:t>
            </w:r>
          </w:p>
        </w:tc>
        <w:tc>
          <w:tcPr>
            <w:tcW w:w="7121" w:type="dxa"/>
            <w:tcBorders>
              <w:top w:val="single" w:color="auto" w:sz="4" w:space="0"/>
              <w:left w:val="nil"/>
              <w:bottom w:val="single" w:color="auto" w:sz="4" w:space="0"/>
              <w:right w:val="single" w:color="auto" w:sz="4" w:space="0"/>
            </w:tcBorders>
            <w:shd w:val="clear" w:color="auto" w:fill="FFFFFF"/>
            <w:vAlign w:val="center"/>
          </w:tcPr>
          <w:p w14:paraId="769B7D6E">
            <w:pPr>
              <w:widowControl/>
              <w:jc w:val="both"/>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sz w:val="32"/>
                <w:szCs w:val="32"/>
                <w:lang w:val="en-US" w:eastAsia="zh-CN"/>
              </w:rPr>
              <w:t>未尽事宜，按照《医疗机构水污染物排放标准》《医疗废物管理条例》《医疗卫生机构医疗废物管理办法》等与本项目有关的其他文件执行。</w:t>
            </w:r>
          </w:p>
        </w:tc>
      </w:tr>
      <w:tr w14:paraId="0E8F774C">
        <w:tblPrEx>
          <w:tblCellMar>
            <w:top w:w="0" w:type="dxa"/>
            <w:left w:w="108" w:type="dxa"/>
            <w:bottom w:w="0" w:type="dxa"/>
            <w:right w:w="108" w:type="dxa"/>
          </w:tblCellMar>
        </w:tblPrEx>
        <w:trPr>
          <w:trHeight w:val="1159" w:hRule="atLeast"/>
          <w:jc w:val="center"/>
        </w:trPr>
        <w:tc>
          <w:tcPr>
            <w:tcW w:w="9810" w:type="dxa"/>
            <w:gridSpan w:val="3"/>
            <w:tcBorders>
              <w:top w:val="single" w:color="auto" w:sz="4" w:space="0"/>
              <w:left w:val="single" w:color="auto" w:sz="4" w:space="0"/>
              <w:bottom w:val="single" w:color="auto" w:sz="4" w:space="0"/>
              <w:right w:val="single" w:color="auto" w:sz="4" w:space="0"/>
            </w:tcBorders>
            <w:vAlign w:val="center"/>
          </w:tcPr>
          <w:p w14:paraId="06AA047D">
            <w:pPr>
              <w:widowControl/>
              <w:jc w:val="both"/>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注：所有技术参数标“</w:t>
            </w:r>
            <w:r>
              <w:rPr>
                <w:rFonts w:hint="eastAsia" w:ascii="宋体" w:hAnsi="宋体" w:eastAsia="宋体" w:cs="宋体"/>
                <w:sz w:val="32"/>
                <w:szCs w:val="32"/>
              </w:rPr>
              <w:t>★</w:t>
            </w:r>
            <w:r>
              <w:rPr>
                <w:rFonts w:hint="eastAsia" w:ascii="仿宋" w:hAnsi="仿宋" w:eastAsia="仿宋" w:cs="仿宋"/>
                <w:color w:val="000000"/>
                <w:sz w:val="32"/>
                <w:szCs w:val="32"/>
                <w:lang w:val="en-US" w:eastAsia="zh-CN"/>
              </w:rPr>
              <w:t>”项为主要技术参数，任意1条不满足则导致响应无效。</w:t>
            </w:r>
            <w:bookmarkStart w:id="1" w:name="_GoBack"/>
            <w:bookmarkEnd w:id="1"/>
          </w:p>
        </w:tc>
      </w:tr>
    </w:tbl>
    <w:p w14:paraId="42898278">
      <w:pPr>
        <w:rPr>
          <w:rFonts w:hint="default" w:ascii="仿宋_GB2312" w:hAnsi="仿宋_GB2312" w:eastAsia="仿宋_GB2312" w:cs="仿宋_GB2312"/>
          <w:sz w:val="32"/>
          <w:szCs w:val="32"/>
          <w:lang w:val="en-US" w:eastAsia="zh-CN"/>
        </w:rPr>
      </w:pPr>
    </w:p>
    <w:p w14:paraId="7ED52435">
      <w:pPr>
        <w:rPr>
          <w:rFonts w:hint="default" w:ascii="仿宋_GB2312" w:hAnsi="仿宋_GB2312" w:eastAsia="仿宋_GB2312" w:cs="仿宋_GB2312"/>
          <w:sz w:val="32"/>
          <w:szCs w:val="32"/>
          <w:lang w:val="en-US" w:eastAsia="zh-CN"/>
        </w:rPr>
      </w:pPr>
    </w:p>
    <w:p w14:paraId="570028F8">
      <w:pPr>
        <w:rPr>
          <w:rFonts w:hint="default" w:ascii="仿宋_GB2312" w:hAnsi="仿宋_GB2312" w:eastAsia="仿宋_GB2312" w:cs="仿宋_GB2312"/>
          <w:sz w:val="32"/>
          <w:szCs w:val="32"/>
          <w:lang w:val="en-US" w:eastAsia="zh-CN"/>
        </w:rPr>
      </w:pPr>
    </w:p>
    <w:p w14:paraId="72F24BDB">
      <w:pPr>
        <w:rPr>
          <w:rFonts w:hint="default" w:ascii="仿宋_GB2312" w:hAnsi="仿宋_GB2312" w:eastAsia="仿宋_GB2312" w:cs="仿宋_GB2312"/>
          <w:sz w:val="32"/>
          <w:szCs w:val="32"/>
          <w:lang w:val="en-US" w:eastAsia="zh-CN"/>
        </w:rPr>
      </w:pPr>
    </w:p>
    <w:p w14:paraId="791BFD80">
      <w:pPr>
        <w:rPr>
          <w:rFonts w:hint="default" w:ascii="仿宋_GB2312" w:hAnsi="仿宋_GB2312" w:eastAsia="仿宋_GB2312" w:cs="仿宋_GB2312"/>
          <w:sz w:val="32"/>
          <w:szCs w:val="32"/>
          <w:lang w:val="en-US" w:eastAsia="zh-CN"/>
        </w:rPr>
      </w:pPr>
    </w:p>
    <w:p w14:paraId="353195EC">
      <w:pPr>
        <w:rPr>
          <w:rFonts w:hint="default" w:ascii="仿宋_GB2312" w:hAnsi="仿宋_GB2312" w:eastAsia="仿宋_GB2312" w:cs="仿宋_GB2312"/>
          <w:sz w:val="32"/>
          <w:szCs w:val="32"/>
          <w:lang w:val="en-US" w:eastAsia="zh-CN"/>
        </w:rPr>
      </w:pPr>
    </w:p>
    <w:p w14:paraId="3C732687">
      <w:pPr>
        <w:rPr>
          <w:rFonts w:hint="default" w:ascii="仿宋_GB2312" w:hAnsi="仿宋_GB2312" w:eastAsia="仿宋_GB2312" w:cs="仿宋_GB2312"/>
          <w:sz w:val="32"/>
          <w:szCs w:val="32"/>
          <w:lang w:val="en-US" w:eastAsia="zh-CN"/>
        </w:rPr>
      </w:pPr>
    </w:p>
    <w:p w14:paraId="58305882">
      <w:pPr>
        <w:rPr>
          <w:rFonts w:hint="default" w:ascii="仿宋_GB2312" w:hAnsi="仿宋_GB2312" w:eastAsia="仿宋_GB2312" w:cs="仿宋_GB2312"/>
          <w:sz w:val="32"/>
          <w:szCs w:val="32"/>
          <w:lang w:val="en-US" w:eastAsia="zh-CN"/>
        </w:rPr>
      </w:pPr>
    </w:p>
    <w:p w14:paraId="334D324C">
      <w:pPr>
        <w:rPr>
          <w:rFonts w:hint="default" w:ascii="仿宋_GB2312" w:hAnsi="仿宋_GB2312" w:eastAsia="仿宋_GB2312" w:cs="仿宋_GB2312"/>
          <w:sz w:val="32"/>
          <w:szCs w:val="32"/>
          <w:lang w:val="en-US" w:eastAsia="zh-CN"/>
        </w:rPr>
      </w:pPr>
    </w:p>
    <w:p w14:paraId="0026FC44">
      <w:pPr>
        <w:rPr>
          <w:rFonts w:hint="default" w:ascii="仿宋_GB2312" w:hAnsi="仿宋_GB2312" w:eastAsia="仿宋_GB2312" w:cs="仿宋_GB2312"/>
          <w:sz w:val="32"/>
          <w:szCs w:val="32"/>
          <w:lang w:val="en-US" w:eastAsia="zh-CN"/>
        </w:rPr>
      </w:pPr>
    </w:p>
    <w:p w14:paraId="734EC8CB">
      <w:pPr>
        <w:rPr>
          <w:rFonts w:hint="default" w:ascii="仿宋_GB2312" w:hAnsi="仿宋_GB2312" w:eastAsia="仿宋_GB2312" w:cs="仿宋_GB2312"/>
          <w:sz w:val="32"/>
          <w:szCs w:val="32"/>
          <w:lang w:val="en-US" w:eastAsia="zh-CN"/>
        </w:rPr>
      </w:pPr>
    </w:p>
    <w:p w14:paraId="4015ACCC">
      <w:pPr>
        <w:rPr>
          <w:rFonts w:hint="default" w:ascii="仿宋_GB2312" w:hAnsi="仿宋_GB2312" w:eastAsia="仿宋_GB2312" w:cs="仿宋_GB2312"/>
          <w:sz w:val="32"/>
          <w:szCs w:val="32"/>
          <w:lang w:val="en-US" w:eastAsia="zh-CN"/>
        </w:rPr>
      </w:pPr>
    </w:p>
    <w:p w14:paraId="6C8BDD36">
      <w:pPr>
        <w:spacing w:line="360" w:lineRule="auto"/>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无</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598826E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960" w:firstLineChars="4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入场时间</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2BC15073">
      <w:pPr>
        <w:rPr>
          <w:rFonts w:ascii="宋体" w:hAnsi="宋体" w:eastAsia="宋体"/>
          <w:sz w:val="24"/>
          <w:szCs w:val="24"/>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服务项目除外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5"/>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4"/>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EFEEEC-F55D-4182-9323-2FABFB6D59D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2" w:fontKey="{C7558228-E60F-4BC4-9BFC-7D0FF5597A32}"/>
  </w:font>
  <w:font w:name="Calibri Light">
    <w:panose1 w:val="020F0302020204030204"/>
    <w:charset w:val="00"/>
    <w:family w:val="auto"/>
    <w:pitch w:val="default"/>
    <w:sig w:usb0="E4002EFF" w:usb1="C200247B" w:usb2="00000009" w:usb3="00000000" w:csb0="200001FF" w:csb1="00000000"/>
    <w:embedRegular r:id="rId3" w:fontKey="{34976BB0-63A9-4922-BEFA-09E32CF1B965}"/>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embedRegular r:id="rId4" w:fontKey="{33C4807C-0177-436F-80E8-59BB68833DE1}"/>
  </w:font>
  <w:font w:name="仿宋_GB2312">
    <w:altName w:val="仿宋"/>
    <w:panose1 w:val="02010609030101010101"/>
    <w:charset w:val="86"/>
    <w:family w:val="modern"/>
    <w:pitch w:val="default"/>
    <w:sig w:usb0="00000000" w:usb1="00000000" w:usb2="00000000" w:usb3="00000000" w:csb0="00040000" w:csb1="00000000"/>
    <w:embedRegular r:id="rId5" w:fontKey="{2B6D207E-8B2D-4D5A-95B9-A59671B23EB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5C6A04CC"/>
    <w:multiLevelType w:val="singleLevel"/>
    <w:tmpl w:val="5C6A04CC"/>
    <w:lvl w:ilvl="0" w:tentative="0">
      <w:start w:val="1"/>
      <w:numFmt w:val="chineseCounting"/>
      <w:suff w:val="space"/>
      <w:lvlText w:val="第%1章"/>
      <w:lvlJc w:val="left"/>
      <w:rPr>
        <w:rFonts w:hint="eastAsia"/>
      </w:rPr>
    </w:lvl>
  </w:abstractNum>
  <w:abstractNum w:abstractNumId="3">
    <w:nsid w:val="762148DF"/>
    <w:multiLevelType w:val="singleLevel"/>
    <w:tmpl w:val="762148DF"/>
    <w:lvl w:ilvl="0" w:tentative="0">
      <w:start w:val="14"/>
      <w:numFmt w:val="chineseCounting"/>
      <w:suff w:val="nothing"/>
      <w:lvlText w:val="%1、"/>
      <w:lvlJc w:val="left"/>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C059CD"/>
    <w:rsid w:val="060F2F14"/>
    <w:rsid w:val="06B07F83"/>
    <w:rsid w:val="06F04422"/>
    <w:rsid w:val="07EE0F70"/>
    <w:rsid w:val="080A65A2"/>
    <w:rsid w:val="0CC91539"/>
    <w:rsid w:val="0DA07F51"/>
    <w:rsid w:val="0DAD62ED"/>
    <w:rsid w:val="0F2440D7"/>
    <w:rsid w:val="0F4E11A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B28723B"/>
    <w:rsid w:val="2B5C1706"/>
    <w:rsid w:val="2B8A6B32"/>
    <w:rsid w:val="2BAC4D24"/>
    <w:rsid w:val="2D1D3BDB"/>
    <w:rsid w:val="2D833519"/>
    <w:rsid w:val="2DFB03C5"/>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93C0F46"/>
    <w:rsid w:val="3B993DF9"/>
    <w:rsid w:val="3D527E27"/>
    <w:rsid w:val="3D634ED4"/>
    <w:rsid w:val="3E122A76"/>
    <w:rsid w:val="3E650D1D"/>
    <w:rsid w:val="3E9002A8"/>
    <w:rsid w:val="3F552A03"/>
    <w:rsid w:val="41277A66"/>
    <w:rsid w:val="41317562"/>
    <w:rsid w:val="420378CC"/>
    <w:rsid w:val="44AA028A"/>
    <w:rsid w:val="44E6324D"/>
    <w:rsid w:val="4603606C"/>
    <w:rsid w:val="46112C35"/>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A17370E"/>
    <w:rsid w:val="5A3E44A5"/>
    <w:rsid w:val="5C344BB6"/>
    <w:rsid w:val="5CFE4042"/>
    <w:rsid w:val="5DFF20EB"/>
    <w:rsid w:val="5E1C5429"/>
    <w:rsid w:val="5ED418C8"/>
    <w:rsid w:val="5EF71E76"/>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2D2C6D"/>
    <w:rsid w:val="6F3911E0"/>
    <w:rsid w:val="6F5104C0"/>
    <w:rsid w:val="6F7A7F8F"/>
    <w:rsid w:val="704F20EA"/>
    <w:rsid w:val="70635C9A"/>
    <w:rsid w:val="70CD0FAF"/>
    <w:rsid w:val="710F0089"/>
    <w:rsid w:val="719B7B32"/>
    <w:rsid w:val="71DA20A9"/>
    <w:rsid w:val="723E077B"/>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39</Words>
  <Characters>43</Characters>
  <Lines>0</Lines>
  <Paragraphs>0</Paragraphs>
  <TotalTime>1</TotalTime>
  <ScaleCrop>false</ScaleCrop>
  <LinksUpToDate>false</LinksUpToDate>
  <CharactersWithSpaces>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2026-09-23T08:48:39Z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DAD3F7E090E644DC9CAFABA4FB3FCCF9_13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