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0652A7E0">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放射工作人员职业健康检查服务项目</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2026年9月22日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079"/>
        <w:gridCol w:w="1683"/>
        <w:gridCol w:w="165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4C60CD5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2"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4CFD29C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放射工作人员职业健康检查服务</w:t>
            </w:r>
          </w:p>
          <w:p w14:paraId="5ED8FA9B">
            <w:pPr>
              <w:widowControl/>
              <w:jc w:val="center"/>
              <w:textAlignment w:val="center"/>
              <w:rPr>
                <w:rFonts w:hint="eastAsia" w:ascii="宋体" w:hAnsi="宋体" w:eastAsia="宋体" w:cs="宋体"/>
                <w:kern w:val="0"/>
                <w:sz w:val="28"/>
                <w:szCs w:val="28"/>
                <w:lang w:val="en-US" w:eastAsia="zh-CN"/>
              </w:rPr>
            </w:pPr>
          </w:p>
        </w:tc>
        <w:tc>
          <w:tcPr>
            <w:tcW w:w="1200"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人</w:t>
            </w:r>
          </w:p>
        </w:tc>
        <w:tc>
          <w:tcPr>
            <w:tcW w:w="1079" w:type="dxa"/>
            <w:vAlign w:val="center"/>
          </w:tcPr>
          <w:p w14:paraId="535899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127</w:t>
            </w:r>
          </w:p>
        </w:tc>
        <w:tc>
          <w:tcPr>
            <w:tcW w:w="1683" w:type="dxa"/>
            <w:vAlign w:val="center"/>
          </w:tcPr>
          <w:p w14:paraId="70A9229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900</w:t>
            </w:r>
          </w:p>
        </w:tc>
        <w:tc>
          <w:tcPr>
            <w:tcW w:w="165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114300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BC628AE">
            <w:pPr>
              <w:widowControl/>
              <w:jc w:val="center"/>
              <w:textAlignment w:val="center"/>
              <w:rPr>
                <w:rFonts w:hint="eastAsia" w:ascii="宋体" w:hAnsi="宋体" w:eastAsia="宋体" w:cs="宋体"/>
                <w:kern w:val="0"/>
                <w:sz w:val="28"/>
                <w:szCs w:val="28"/>
                <w:lang w:val="en-US" w:eastAsia="zh-CN"/>
              </w:rPr>
            </w:pPr>
          </w:p>
        </w:tc>
        <w:tc>
          <w:tcPr>
            <w:tcW w:w="6926" w:type="dxa"/>
            <w:gridSpan w:val="4"/>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65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114300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入场服务时间</w:t>
            </w:r>
          </w:p>
        </w:tc>
        <w:tc>
          <w:tcPr>
            <w:tcW w:w="5612" w:type="dxa"/>
            <w:gridSpan w:val="4"/>
            <w:vAlign w:val="center"/>
          </w:tcPr>
          <w:p w14:paraId="72174209">
            <w:pPr>
              <w:widowControl/>
              <w:jc w:val="left"/>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合同签订后一周内开始提供放射工作人员职业健康检查服务</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服务期</w:t>
            </w:r>
          </w:p>
        </w:tc>
        <w:tc>
          <w:tcPr>
            <w:tcW w:w="5612" w:type="dxa"/>
            <w:gridSpan w:val="4"/>
            <w:vAlign w:val="center"/>
          </w:tcPr>
          <w:p w14:paraId="56B9AF71">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本项目为一次性体检服务，合同有效期为自合同签订之日起至全部体检完成、报告交付、本次服务完成止。</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6580548">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甲方收到全部放射工作人员职业健康检查报告后付款</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2FD57B8A">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5612" w:type="dxa"/>
            <w:gridSpan w:val="4"/>
            <w:vAlign w:val="center"/>
          </w:tcPr>
          <w:p w14:paraId="4B29C0FC">
            <w:pPr>
              <w:widowControl/>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东胜区或康巴什区</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bookmarkStart w:id="1" w:name="_GoBack"/>
      <w:bookmarkEnd w:id="1"/>
    </w:p>
    <w:p w14:paraId="5E553D0E">
      <w:pPr>
        <w:spacing w:line="360" w:lineRule="auto"/>
        <w:jc w:val="left"/>
        <w:rPr>
          <w:rFonts w:hint="eastAsia" w:ascii="宋体" w:hAnsi="宋体" w:eastAsia="宋体"/>
          <w:sz w:val="32"/>
          <w:szCs w:val="32"/>
          <w:u w:val="single"/>
          <w:lang w:val="en-US" w:eastAsia="zh-CN"/>
        </w:rPr>
      </w:pPr>
      <w:r>
        <w:rPr>
          <w:rFonts w:hint="eastAsia" w:ascii="宋体" w:hAnsi="宋体" w:eastAsia="宋体"/>
          <w:sz w:val="32"/>
          <w:szCs w:val="32"/>
        </w:rPr>
        <w:t>（1）项目基本情况介绍：</w:t>
      </w:r>
      <w:r>
        <w:rPr>
          <w:rFonts w:hint="eastAsia" w:ascii="宋体" w:hAnsi="宋体" w:eastAsia="宋体"/>
          <w:sz w:val="32"/>
          <w:szCs w:val="32"/>
          <w:u w:val="single"/>
        </w:rPr>
        <w:t>依据《</w:t>
      </w:r>
      <w:r>
        <w:rPr>
          <w:rFonts w:hint="eastAsia" w:ascii="宋体" w:hAnsi="宋体" w:eastAsia="宋体"/>
          <w:sz w:val="32"/>
          <w:szCs w:val="32"/>
          <w:u w:val="single"/>
          <w:lang w:eastAsia="zh-CN"/>
        </w:rPr>
        <w:t>中华人民共和国职业病防治法</w:t>
      </w:r>
      <w:r>
        <w:rPr>
          <w:rFonts w:hint="eastAsia" w:ascii="宋体" w:hAnsi="宋体" w:eastAsia="宋体"/>
          <w:sz w:val="32"/>
          <w:szCs w:val="32"/>
          <w:u w:val="single"/>
        </w:rPr>
        <w:t>》、《放射诊疗管理规定》</w:t>
      </w:r>
      <w:r>
        <w:rPr>
          <w:rFonts w:hint="eastAsia" w:ascii="宋体" w:hAnsi="宋体" w:eastAsia="宋体"/>
          <w:sz w:val="32"/>
          <w:szCs w:val="32"/>
          <w:u w:val="single"/>
          <w:lang w:eastAsia="zh-CN"/>
        </w:rPr>
        <w:t>、</w:t>
      </w:r>
      <w:r>
        <w:rPr>
          <w:rFonts w:hint="eastAsia" w:ascii="宋体" w:hAnsi="宋体" w:eastAsia="宋体"/>
          <w:sz w:val="32"/>
          <w:szCs w:val="32"/>
          <w:u w:val="single"/>
        </w:rPr>
        <w:t>《放射工作人员职业健康管理办法》</w:t>
      </w:r>
      <w:r>
        <w:rPr>
          <w:rFonts w:hint="eastAsia" w:ascii="宋体" w:hAnsi="宋体" w:eastAsia="宋体"/>
          <w:sz w:val="32"/>
          <w:szCs w:val="32"/>
          <w:u w:val="single"/>
          <w:lang w:eastAsia="zh-CN"/>
        </w:rPr>
        <w:t>、</w:t>
      </w:r>
      <w:r>
        <w:rPr>
          <w:rFonts w:hint="eastAsia" w:ascii="宋体" w:hAnsi="宋体" w:eastAsia="宋体"/>
          <w:sz w:val="32"/>
          <w:szCs w:val="32"/>
          <w:u w:val="single"/>
        </w:rPr>
        <w:t>《</w:t>
      </w:r>
      <w:r>
        <w:rPr>
          <w:rFonts w:hint="eastAsia" w:ascii="宋体" w:hAnsi="宋体" w:eastAsia="宋体"/>
          <w:sz w:val="32"/>
          <w:szCs w:val="32"/>
          <w:u w:val="single"/>
          <w:lang w:eastAsia="zh-CN"/>
        </w:rPr>
        <w:t>中华人民共和国国家职业卫生标准</w:t>
      </w:r>
      <w:r>
        <w:rPr>
          <w:rFonts w:hint="eastAsia" w:ascii="宋体" w:hAnsi="宋体" w:eastAsia="宋体"/>
          <w:sz w:val="32"/>
          <w:szCs w:val="32"/>
          <w:u w:val="single"/>
          <w:lang w:val="en-US" w:eastAsia="zh-CN"/>
        </w:rPr>
        <w:t xml:space="preserve">GBZ </w:t>
      </w:r>
    </w:p>
    <w:p w14:paraId="33EFF474">
      <w:pPr>
        <w:spacing w:line="360" w:lineRule="auto"/>
        <w:jc w:val="left"/>
        <w:rPr>
          <w:rFonts w:hint="eastAsia" w:ascii="宋体" w:hAnsi="宋体" w:eastAsia="宋体"/>
          <w:sz w:val="32"/>
          <w:szCs w:val="32"/>
          <w:u w:val="single"/>
          <w:lang w:val="en-US" w:eastAsia="zh-CN"/>
        </w:rPr>
      </w:pPr>
    </w:p>
    <w:p w14:paraId="2E81A862">
      <w:pPr>
        <w:spacing w:line="360" w:lineRule="auto"/>
        <w:jc w:val="left"/>
        <w:rPr>
          <w:rFonts w:hint="eastAsia" w:ascii="宋体" w:hAnsi="宋体" w:eastAsia="宋体"/>
          <w:sz w:val="32"/>
          <w:szCs w:val="32"/>
          <w:u w:val="single"/>
          <w:lang w:val="en-US" w:eastAsia="zh-CN"/>
        </w:rPr>
      </w:pPr>
      <w:r>
        <w:rPr>
          <w:rFonts w:hint="eastAsia" w:ascii="宋体" w:hAnsi="宋体" w:eastAsia="宋体"/>
          <w:sz w:val="32"/>
          <w:szCs w:val="32"/>
          <w:u w:val="single"/>
          <w:lang w:val="en-US" w:eastAsia="zh-CN"/>
        </w:rPr>
        <w:t>98-2020</w:t>
      </w:r>
      <w:r>
        <w:rPr>
          <w:rFonts w:hint="eastAsia" w:ascii="宋体" w:hAnsi="宋体" w:eastAsia="宋体"/>
          <w:sz w:val="32"/>
          <w:szCs w:val="32"/>
          <w:u w:val="single"/>
        </w:rPr>
        <w:t>》《</w:t>
      </w:r>
      <w:r>
        <w:rPr>
          <w:rFonts w:hint="eastAsia" w:ascii="宋体" w:hAnsi="宋体" w:eastAsia="宋体"/>
          <w:sz w:val="32"/>
          <w:szCs w:val="32"/>
          <w:u w:val="single"/>
          <w:lang w:eastAsia="zh-CN"/>
        </w:rPr>
        <w:t>放射工作人员健康要求及监护规范</w:t>
      </w:r>
      <w:r>
        <w:rPr>
          <w:rFonts w:hint="eastAsia" w:ascii="宋体" w:hAnsi="宋体" w:eastAsia="宋体"/>
          <w:sz w:val="32"/>
          <w:szCs w:val="32"/>
          <w:u w:val="single"/>
        </w:rPr>
        <w:t>》等相关标准和规范，承接我院委托的放射工作人员</w:t>
      </w:r>
      <w:r>
        <w:rPr>
          <w:rFonts w:hint="eastAsia" w:ascii="宋体" w:hAnsi="宋体" w:eastAsia="宋体"/>
          <w:sz w:val="32"/>
          <w:szCs w:val="32"/>
          <w:u w:val="single"/>
          <w:lang w:eastAsia="zh-CN"/>
        </w:rPr>
        <w:t>职业健康检查</w:t>
      </w:r>
      <w:r>
        <w:rPr>
          <w:rFonts w:hint="eastAsia" w:ascii="宋体" w:hAnsi="宋体" w:eastAsia="宋体"/>
          <w:sz w:val="32"/>
          <w:szCs w:val="32"/>
          <w:u w:val="single"/>
        </w:rPr>
        <w:t>工作，并</w:t>
      </w:r>
      <w:r>
        <w:rPr>
          <w:rFonts w:hint="eastAsia" w:ascii="宋体" w:hAnsi="宋体" w:eastAsia="宋体"/>
          <w:sz w:val="32"/>
          <w:szCs w:val="32"/>
          <w:u w:val="single"/>
          <w:lang w:eastAsia="zh-CN"/>
        </w:rPr>
        <w:t>出具</w:t>
      </w:r>
      <w:r>
        <w:rPr>
          <w:rFonts w:hint="eastAsia" w:ascii="宋体" w:hAnsi="宋体" w:eastAsia="宋体"/>
          <w:sz w:val="32"/>
          <w:szCs w:val="32"/>
          <w:u w:val="single"/>
        </w:rPr>
        <w:t>书面</w:t>
      </w:r>
      <w:r>
        <w:rPr>
          <w:rFonts w:hint="eastAsia" w:ascii="宋体" w:hAnsi="宋体" w:eastAsia="宋体"/>
          <w:sz w:val="32"/>
          <w:szCs w:val="32"/>
          <w:u w:val="single"/>
          <w:lang w:eastAsia="zh-CN"/>
        </w:rPr>
        <w:t>职业健康检查</w:t>
      </w:r>
      <w:r>
        <w:rPr>
          <w:rFonts w:hint="eastAsia" w:ascii="宋体" w:hAnsi="宋体" w:eastAsia="宋体"/>
          <w:sz w:val="32"/>
          <w:szCs w:val="32"/>
          <w:u w:val="single"/>
        </w:rPr>
        <w:t>报告</w:t>
      </w:r>
      <w:r>
        <w:rPr>
          <w:rFonts w:hint="eastAsia" w:ascii="宋体" w:hAnsi="宋体" w:eastAsia="宋体"/>
          <w:sz w:val="32"/>
          <w:szCs w:val="32"/>
          <w:u w:val="single"/>
          <w:lang w:eastAsia="zh-CN"/>
        </w:rPr>
        <w:t>（包括汇总报告和个体报告）</w:t>
      </w:r>
      <w:r>
        <w:rPr>
          <w:rFonts w:hint="eastAsia" w:ascii="宋体" w:hAnsi="宋体" w:eastAsia="宋体"/>
          <w:sz w:val="32"/>
          <w:szCs w:val="32"/>
          <w:u w:val="single"/>
        </w:rPr>
        <w:t>。</w:t>
      </w:r>
    </w:p>
    <w:p w14:paraId="7495DC22">
      <w:pPr>
        <w:spacing w:line="360" w:lineRule="auto"/>
        <w:jc w:val="left"/>
        <w:rPr>
          <w:rFonts w:hint="eastAsia" w:ascii="宋体" w:hAnsi="宋体" w:eastAsia="宋体"/>
          <w:sz w:val="32"/>
          <w:szCs w:val="32"/>
          <w:u w:val="single"/>
        </w:rPr>
      </w:pPr>
      <w:r>
        <w:rPr>
          <w:rFonts w:hint="eastAsia" w:ascii="宋体" w:hAnsi="宋体" w:eastAsia="宋体" w:cs="宋体"/>
          <w:sz w:val="32"/>
          <w:szCs w:val="32"/>
        </w:rPr>
        <w:t>（2）技术参数和要求（功能和质量）</w:t>
      </w:r>
    </w:p>
    <w:tbl>
      <w:tblPr>
        <w:tblStyle w:val="15"/>
        <w:tblW w:w="10411" w:type="dxa"/>
        <w:jc w:val="center"/>
        <w:tblLayout w:type="fixed"/>
        <w:tblCellMar>
          <w:top w:w="0" w:type="dxa"/>
          <w:left w:w="108" w:type="dxa"/>
          <w:bottom w:w="0" w:type="dxa"/>
          <w:right w:w="108" w:type="dxa"/>
        </w:tblCellMar>
      </w:tblPr>
      <w:tblGrid>
        <w:gridCol w:w="2037"/>
        <w:gridCol w:w="1001"/>
        <w:gridCol w:w="7373"/>
      </w:tblGrid>
      <w:tr w14:paraId="282D40EC">
        <w:tblPrEx>
          <w:tblCellMar>
            <w:top w:w="0" w:type="dxa"/>
            <w:left w:w="108" w:type="dxa"/>
            <w:bottom w:w="0" w:type="dxa"/>
            <w:right w:w="108" w:type="dxa"/>
          </w:tblCellMar>
        </w:tblPrEx>
        <w:trPr>
          <w:trHeight w:val="487"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0877665D">
            <w:pPr>
              <w:widowControl/>
              <w:jc w:val="center"/>
              <w:rPr>
                <w:rFonts w:hint="eastAsia" w:ascii="宋体" w:hAnsi="宋体" w:eastAsia="宋体" w:cs="宋体"/>
                <w:sz w:val="32"/>
                <w:szCs w:val="32"/>
              </w:rPr>
            </w:pPr>
            <w:r>
              <w:rPr>
                <w:rFonts w:hint="eastAsia" w:ascii="宋体" w:hAnsi="宋体" w:eastAsia="宋体" w:cs="宋体"/>
                <w:sz w:val="32"/>
                <w:szCs w:val="32"/>
              </w:rPr>
              <w:t>参数性质</w:t>
            </w:r>
          </w:p>
        </w:tc>
        <w:tc>
          <w:tcPr>
            <w:tcW w:w="1001" w:type="dxa"/>
            <w:tcBorders>
              <w:top w:val="single" w:color="auto" w:sz="4" w:space="0"/>
              <w:left w:val="nil"/>
              <w:bottom w:val="single" w:color="auto" w:sz="4" w:space="0"/>
              <w:right w:val="single" w:color="auto" w:sz="4" w:space="0"/>
            </w:tcBorders>
            <w:vAlign w:val="center"/>
          </w:tcPr>
          <w:p w14:paraId="319D7CC7">
            <w:pPr>
              <w:widowControl/>
              <w:jc w:val="center"/>
              <w:rPr>
                <w:rFonts w:hint="eastAsia" w:ascii="宋体" w:hAnsi="宋体" w:eastAsia="宋体" w:cs="宋体"/>
                <w:sz w:val="32"/>
                <w:szCs w:val="32"/>
              </w:rPr>
            </w:pPr>
            <w:r>
              <w:rPr>
                <w:rFonts w:hint="eastAsia" w:ascii="宋体" w:hAnsi="宋体" w:eastAsia="宋体" w:cs="宋体"/>
                <w:sz w:val="32"/>
                <w:szCs w:val="32"/>
              </w:rPr>
              <w:t>编号</w:t>
            </w:r>
          </w:p>
        </w:tc>
        <w:tc>
          <w:tcPr>
            <w:tcW w:w="7373" w:type="dxa"/>
            <w:tcBorders>
              <w:top w:val="single" w:color="auto" w:sz="4" w:space="0"/>
              <w:left w:val="nil"/>
              <w:bottom w:val="single" w:color="auto" w:sz="4" w:space="0"/>
              <w:right w:val="single" w:color="auto" w:sz="4" w:space="0"/>
            </w:tcBorders>
            <w:vAlign w:val="center"/>
          </w:tcPr>
          <w:p w14:paraId="0C054C24">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43FBF588">
        <w:tblPrEx>
          <w:tblCellMar>
            <w:top w:w="0" w:type="dxa"/>
            <w:left w:w="108" w:type="dxa"/>
            <w:bottom w:w="0" w:type="dxa"/>
            <w:right w:w="108" w:type="dxa"/>
          </w:tblCellMar>
        </w:tblPrEx>
        <w:trPr>
          <w:trHeight w:val="32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4B3F797E">
            <w:pPr>
              <w:widowControl/>
              <w:jc w:val="center"/>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w:t>
            </w:r>
          </w:p>
        </w:tc>
        <w:tc>
          <w:tcPr>
            <w:tcW w:w="1001" w:type="dxa"/>
            <w:tcBorders>
              <w:top w:val="single" w:color="auto" w:sz="4" w:space="0"/>
              <w:left w:val="nil"/>
              <w:bottom w:val="single" w:color="auto" w:sz="4" w:space="0"/>
              <w:right w:val="single" w:color="auto" w:sz="4" w:space="0"/>
            </w:tcBorders>
            <w:vAlign w:val="center"/>
          </w:tcPr>
          <w:p w14:paraId="3026F3DD">
            <w:pPr>
              <w:widowControl/>
              <w:jc w:val="center"/>
              <w:rPr>
                <w:rFonts w:hint="eastAsia" w:ascii="宋体" w:hAnsi="宋体" w:eastAsia="宋体" w:cs="宋体"/>
                <w:sz w:val="32"/>
                <w:szCs w:val="32"/>
              </w:rPr>
            </w:pPr>
            <w:r>
              <w:rPr>
                <w:rFonts w:hint="eastAsia" w:ascii="宋体" w:hAnsi="宋体" w:eastAsia="宋体" w:cs="宋体"/>
                <w:sz w:val="32"/>
                <w:szCs w:val="32"/>
              </w:rPr>
              <w:t>1</w:t>
            </w:r>
          </w:p>
        </w:tc>
        <w:tc>
          <w:tcPr>
            <w:tcW w:w="7373" w:type="dxa"/>
            <w:tcBorders>
              <w:top w:val="single" w:color="auto" w:sz="4" w:space="0"/>
              <w:left w:val="nil"/>
              <w:bottom w:val="single" w:color="auto" w:sz="4" w:space="0"/>
              <w:right w:val="single" w:color="auto" w:sz="4" w:space="0"/>
            </w:tcBorders>
            <w:vAlign w:val="center"/>
          </w:tcPr>
          <w:p w14:paraId="1C4C550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体检项目、流程、健康评价完全符合《放射工作人员健康要求及监护规范》（GBZ 98‑2020）全部要求。 </w:t>
            </w:r>
          </w:p>
        </w:tc>
      </w:tr>
      <w:tr w14:paraId="13CE8ED7">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1C73DFB8">
            <w:pPr>
              <w:widowControl/>
              <w:jc w:val="center"/>
              <w:rPr>
                <w:rFonts w:hint="eastAsia" w:ascii="宋体" w:hAnsi="宋体" w:eastAsia="宋体" w:cs="宋体"/>
                <w:sz w:val="32"/>
                <w:szCs w:val="32"/>
              </w:rPr>
            </w:pPr>
          </w:p>
        </w:tc>
        <w:tc>
          <w:tcPr>
            <w:tcW w:w="1001" w:type="dxa"/>
            <w:tcBorders>
              <w:top w:val="single" w:color="auto" w:sz="4" w:space="0"/>
              <w:left w:val="nil"/>
              <w:bottom w:val="single" w:color="auto" w:sz="4" w:space="0"/>
              <w:right w:val="single" w:color="auto" w:sz="4" w:space="0"/>
            </w:tcBorders>
            <w:vAlign w:val="center"/>
          </w:tcPr>
          <w:p w14:paraId="3421C3C1">
            <w:pPr>
              <w:widowControl/>
              <w:jc w:val="center"/>
              <w:rPr>
                <w:rFonts w:hint="eastAsia" w:ascii="宋体" w:hAnsi="宋体" w:eastAsia="宋体" w:cs="宋体"/>
                <w:sz w:val="32"/>
                <w:szCs w:val="32"/>
              </w:rPr>
            </w:pPr>
            <w:r>
              <w:rPr>
                <w:rFonts w:hint="eastAsia" w:ascii="宋体" w:hAnsi="宋体" w:eastAsia="宋体" w:cs="宋体"/>
                <w:sz w:val="32"/>
                <w:szCs w:val="32"/>
              </w:rPr>
              <w:t>2</w:t>
            </w:r>
          </w:p>
        </w:tc>
        <w:tc>
          <w:tcPr>
            <w:tcW w:w="7373" w:type="dxa"/>
            <w:tcBorders>
              <w:top w:val="single" w:color="auto" w:sz="4" w:space="0"/>
              <w:left w:val="nil"/>
              <w:bottom w:val="single" w:color="auto" w:sz="4" w:space="0"/>
              <w:right w:val="single" w:color="auto" w:sz="4" w:space="0"/>
            </w:tcBorders>
            <w:vAlign w:val="center"/>
          </w:tcPr>
          <w:p w14:paraId="0CB9809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 xml:space="preserve">服务方完成全部检查工作后须按时出具职业健康检查个体报告、汇总报告，不得无故拖延。 </w:t>
            </w:r>
          </w:p>
        </w:tc>
      </w:tr>
      <w:tr w14:paraId="22C55337">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785073A3">
            <w:pPr>
              <w:widowControl/>
              <w:jc w:val="center"/>
              <w:rPr>
                <w:rFonts w:hint="eastAsia" w:ascii="宋体" w:hAnsi="宋体" w:eastAsia="宋体" w:cs="宋体"/>
                <w:sz w:val="32"/>
                <w:szCs w:val="32"/>
              </w:rPr>
            </w:pPr>
          </w:p>
        </w:tc>
        <w:tc>
          <w:tcPr>
            <w:tcW w:w="1001" w:type="dxa"/>
            <w:tcBorders>
              <w:top w:val="single" w:color="auto" w:sz="4" w:space="0"/>
              <w:left w:val="nil"/>
              <w:bottom w:val="single" w:color="auto" w:sz="4" w:space="0"/>
              <w:right w:val="single" w:color="auto" w:sz="4" w:space="0"/>
            </w:tcBorders>
            <w:vAlign w:val="center"/>
          </w:tcPr>
          <w:p w14:paraId="7074E88B">
            <w:pPr>
              <w:widowControl/>
              <w:jc w:val="center"/>
              <w:rPr>
                <w:rFonts w:hint="eastAsia" w:ascii="宋体" w:hAnsi="宋体" w:eastAsia="宋体" w:cs="宋体"/>
                <w:sz w:val="32"/>
                <w:szCs w:val="32"/>
              </w:rPr>
            </w:pPr>
            <w:r>
              <w:rPr>
                <w:rFonts w:hint="eastAsia" w:ascii="宋体" w:hAnsi="宋体" w:eastAsia="宋体" w:cs="宋体"/>
                <w:sz w:val="32"/>
                <w:szCs w:val="32"/>
              </w:rPr>
              <w:t>3</w:t>
            </w:r>
          </w:p>
        </w:tc>
        <w:tc>
          <w:tcPr>
            <w:tcW w:w="7373" w:type="dxa"/>
            <w:tcBorders>
              <w:top w:val="single" w:color="auto" w:sz="4" w:space="0"/>
              <w:left w:val="nil"/>
              <w:bottom w:val="single" w:color="auto" w:sz="4" w:space="0"/>
              <w:right w:val="single" w:color="auto" w:sz="4" w:space="0"/>
            </w:tcBorders>
            <w:vAlign w:val="center"/>
          </w:tcPr>
          <w:p w14:paraId="2D35BA7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 xml:space="preserve">服务方须对我院提供的全部资料、受检人员个人健康隐私、商业及技术机密严格保密；对职业健康检查报告的准确、客观、有效性负全部责任，如出现报告虚假、错项、漏项，全部责任由服务方承担。 </w:t>
            </w:r>
          </w:p>
        </w:tc>
      </w:tr>
      <w:tr w14:paraId="749992A2">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2B7BCBED">
            <w:pPr>
              <w:widowControl/>
              <w:jc w:val="center"/>
              <w:rPr>
                <w:rFonts w:hint="eastAsia" w:ascii="宋体" w:hAnsi="宋体" w:eastAsia="宋体" w:cs="宋体"/>
                <w:sz w:val="32"/>
                <w:szCs w:val="32"/>
                <w:lang w:val="en-US" w:eastAsia="zh-CN"/>
              </w:rPr>
            </w:pPr>
          </w:p>
        </w:tc>
        <w:tc>
          <w:tcPr>
            <w:tcW w:w="1001" w:type="dxa"/>
            <w:tcBorders>
              <w:top w:val="single" w:color="auto" w:sz="4" w:space="0"/>
              <w:left w:val="nil"/>
              <w:bottom w:val="single" w:color="auto" w:sz="4" w:space="0"/>
              <w:right w:val="single" w:color="auto" w:sz="4" w:space="0"/>
            </w:tcBorders>
            <w:vAlign w:val="center"/>
          </w:tcPr>
          <w:p w14:paraId="55A524EB">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7373" w:type="dxa"/>
            <w:tcBorders>
              <w:top w:val="single" w:color="auto" w:sz="4" w:space="0"/>
              <w:left w:val="nil"/>
              <w:bottom w:val="single" w:color="auto" w:sz="4" w:space="0"/>
              <w:right w:val="single" w:color="auto" w:sz="4" w:space="0"/>
            </w:tcBorders>
            <w:vAlign w:val="center"/>
          </w:tcPr>
          <w:p w14:paraId="3FB1505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严格做好受检人员健康信息数据管理，健康数据仅用于本项目职业健康监护，不得私自留存、外传、挪作其他用途，发生信息</w:t>
            </w:r>
            <w:r>
              <w:rPr>
                <w:rFonts w:hint="eastAsia" w:ascii="宋体" w:hAnsi="宋体" w:eastAsia="宋体" w:cs="宋体"/>
                <w:sz w:val="32"/>
                <w:szCs w:val="32"/>
                <w:lang w:eastAsia="zh-CN"/>
              </w:rPr>
              <w:t>泄漏</w:t>
            </w:r>
            <w:r>
              <w:rPr>
                <w:rFonts w:hint="eastAsia" w:ascii="宋体" w:hAnsi="宋体" w:eastAsia="宋体" w:cs="宋体"/>
                <w:sz w:val="32"/>
                <w:szCs w:val="32"/>
              </w:rPr>
              <w:t xml:space="preserve">由乙方承担全部法律及赔偿责任。 </w:t>
            </w:r>
          </w:p>
        </w:tc>
      </w:tr>
      <w:tr w14:paraId="64133439">
        <w:tblPrEx>
          <w:tblCellMar>
            <w:top w:w="0" w:type="dxa"/>
            <w:left w:w="108" w:type="dxa"/>
            <w:bottom w:w="0" w:type="dxa"/>
            <w:right w:w="108" w:type="dxa"/>
          </w:tblCellMar>
        </w:tblPrEx>
        <w:trPr>
          <w:trHeight w:val="773" w:hRule="atLeast"/>
          <w:jc w:val="center"/>
        </w:trPr>
        <w:tc>
          <w:tcPr>
            <w:tcW w:w="10411" w:type="dxa"/>
            <w:gridSpan w:val="3"/>
            <w:tcBorders>
              <w:top w:val="single" w:color="auto" w:sz="4" w:space="0"/>
              <w:left w:val="single" w:color="auto" w:sz="4" w:space="0"/>
              <w:bottom w:val="single" w:color="auto" w:sz="4" w:space="0"/>
              <w:right w:val="single" w:color="auto" w:sz="4" w:space="0"/>
            </w:tcBorders>
            <w:vAlign w:val="center"/>
          </w:tcPr>
          <w:p w14:paraId="15A47356">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注：技术参数中标“★”项为主要技术参数，任意1条不满足则导致响应无效。</w:t>
            </w:r>
          </w:p>
        </w:tc>
      </w:tr>
    </w:tbl>
    <w:p w14:paraId="7E4A782E">
      <w:pPr>
        <w:rPr>
          <w:rFonts w:hint="default" w:ascii="仿宋_GB2312" w:hAnsi="仿宋_GB2312" w:eastAsia="仿宋_GB2312" w:cs="仿宋_GB2312"/>
          <w:sz w:val="32"/>
          <w:szCs w:val="32"/>
          <w:lang w:val="en-US" w:eastAsia="zh-CN"/>
        </w:rPr>
      </w:pPr>
    </w:p>
    <w:p w14:paraId="353195EC">
      <w:pPr>
        <w:rPr>
          <w:rFonts w:hint="default" w:ascii="仿宋_GB2312" w:hAnsi="仿宋_GB2312" w:eastAsia="仿宋_GB2312" w:cs="仿宋_GB2312"/>
          <w:sz w:val="32"/>
          <w:szCs w:val="32"/>
          <w:lang w:val="en-US" w:eastAsia="zh-CN"/>
        </w:rPr>
      </w:pPr>
    </w:p>
    <w:p w14:paraId="3C732687">
      <w:pPr>
        <w:rPr>
          <w:rFonts w:hint="default" w:ascii="仿宋_GB2312" w:hAnsi="仿宋_GB2312" w:eastAsia="仿宋_GB2312" w:cs="仿宋_GB2312"/>
          <w:sz w:val="32"/>
          <w:szCs w:val="32"/>
          <w:lang w:val="en-US" w:eastAsia="zh-CN"/>
        </w:rPr>
      </w:pPr>
    </w:p>
    <w:p w14:paraId="58305882">
      <w:pPr>
        <w:rPr>
          <w:rFonts w:hint="default" w:ascii="仿宋_GB2312" w:hAnsi="仿宋_GB2312" w:eastAsia="仿宋_GB2312" w:cs="仿宋_GB2312"/>
          <w:sz w:val="32"/>
          <w:szCs w:val="32"/>
          <w:lang w:val="en-US" w:eastAsia="zh-CN"/>
        </w:rPr>
      </w:pPr>
    </w:p>
    <w:p w14:paraId="334D324C">
      <w:pPr>
        <w:rPr>
          <w:rFonts w:hint="default" w:ascii="仿宋_GB2312" w:hAnsi="仿宋_GB2312" w:eastAsia="仿宋_GB2312" w:cs="仿宋_GB2312"/>
          <w:sz w:val="32"/>
          <w:szCs w:val="32"/>
          <w:lang w:val="en-US" w:eastAsia="zh-CN"/>
        </w:rPr>
      </w:pPr>
    </w:p>
    <w:p w14:paraId="4015ACCC">
      <w:pPr>
        <w:rPr>
          <w:rFonts w:hint="default" w:ascii="仿宋_GB2312" w:hAnsi="仿宋_GB2312" w:eastAsia="仿宋_GB2312" w:cs="仿宋_GB2312"/>
          <w:sz w:val="32"/>
          <w:szCs w:val="32"/>
          <w:lang w:val="en-US" w:eastAsia="zh-CN"/>
        </w:rPr>
      </w:pPr>
    </w:p>
    <w:p w14:paraId="3A30BF1D">
      <w:pPr>
        <w:rPr>
          <w:rFonts w:hint="default" w:ascii="仿宋_GB2312" w:hAnsi="仿宋_GB2312" w:eastAsia="仿宋_GB2312" w:cs="仿宋_GB2312"/>
          <w:sz w:val="32"/>
          <w:szCs w:val="32"/>
          <w:lang w:val="en-US" w:eastAsia="zh-CN"/>
        </w:rPr>
      </w:pPr>
    </w:p>
    <w:p w14:paraId="6C8BDD36">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入场服务时间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C073F5-2381-4A36-BB35-41BC49A9A7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9F521ED5-776C-4CA1-A1D5-C4F37E093B8F}"/>
  </w:font>
  <w:font w:name="Calibri Light">
    <w:panose1 w:val="020F0302020204030204"/>
    <w:charset w:val="00"/>
    <w:family w:val="auto"/>
    <w:pitch w:val="default"/>
    <w:sig w:usb0="E4002EFF" w:usb1="C200247B" w:usb2="00000009" w:usb3="00000000" w:csb0="200001FF" w:csb1="00000000"/>
    <w:embedRegular r:id="rId3" w:fontKey="{EA7FDF08-23D2-47F6-8DD6-26128BCCAE87}"/>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F24B7EF9-02D6-409D-B93E-E6D263D91EDB}"/>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E9706B8"/>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277A66"/>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1C5456"/>
    <w:rsid w:val="5A3E44A5"/>
    <w:rsid w:val="5C344BB6"/>
    <w:rsid w:val="5CFE4042"/>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41</Words>
  <Characters>45</Characters>
  <Lines>0</Lines>
  <Paragraphs>0</Paragraphs>
  <TotalTime>3</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2026-09-24T03:44:07Z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ACFF394B4F9D4393940130C620082676_13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