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鄂尔多斯市中心医院</w:t>
      </w:r>
    </w:p>
    <w:p w14:paraId="4460EAC3">
      <w:pPr>
        <w:numPr>
          <w:ilvl w:val="0"/>
          <w:numId w:val="0"/>
        </w:numPr>
        <w:jc w:val="center"/>
        <w:rPr>
          <w:rFonts w:hint="eastAsia" w:ascii="宋体" w:hAnsi="宋体" w:eastAsia="宋体" w:cs="宋体"/>
          <w:b/>
          <w:bCs/>
          <w:sz w:val="44"/>
          <w:szCs w:val="44"/>
          <w:lang w:val="en-US" w:eastAsia="zh-CN"/>
        </w:rPr>
      </w:pPr>
    </w:p>
    <w:p w14:paraId="7855E913">
      <w:pPr>
        <w:numPr>
          <w:ilvl w:val="0"/>
          <w:numId w:val="0"/>
        </w:numPr>
        <w:jc w:val="center"/>
        <w:rPr>
          <w:rFonts w:hint="eastAsia" w:ascii="宋体" w:hAnsi="宋体" w:eastAsia="宋体" w:cs="宋体"/>
          <w:b/>
          <w:bCs/>
          <w:sz w:val="44"/>
          <w:szCs w:val="44"/>
          <w:lang w:val="en-US" w:eastAsia="zh-CN"/>
        </w:rPr>
      </w:pPr>
    </w:p>
    <w:p w14:paraId="24BCF1D6">
      <w:pPr>
        <w:numPr>
          <w:ilvl w:val="0"/>
          <w:numId w:val="0"/>
        </w:numPr>
        <w:ind w:firstLine="2650" w:firstLineChars="600"/>
        <w:jc w:val="both"/>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院内招采文件</w:t>
      </w:r>
    </w:p>
    <w:p w14:paraId="1A2146B2">
      <w:pPr>
        <w:numPr>
          <w:ilvl w:val="0"/>
          <w:numId w:val="0"/>
        </w:num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ascii="宋体" w:hAnsi="宋体" w:eastAsia="宋体" w:cs="宋体"/>
          <w:b/>
          <w:bCs/>
          <w:lang w:val="en-US" w:eastAsia="zh-CN"/>
        </w:rPr>
      </w:pPr>
      <w:r>
        <w:rPr>
          <w:rFonts w:hint="eastAsia" w:ascii="宋体" w:hAnsi="宋体" w:eastAsia="宋体" w:cs="宋体"/>
          <w:b/>
          <w:bCs/>
          <w:lang w:val="en-US" w:eastAsia="zh-CN"/>
        </w:rPr>
        <w:t xml:space="preserve">                          </w:t>
      </w:r>
    </w:p>
    <w:p w14:paraId="4765CAF4">
      <w:pPr>
        <w:numPr>
          <w:ilvl w:val="0"/>
          <w:numId w:val="0"/>
        </w:numPr>
        <w:rPr>
          <w:rFonts w:hint="eastAsia" w:ascii="宋体" w:hAnsi="宋体" w:eastAsia="宋体" w:cs="宋体"/>
          <w:b/>
          <w:bCs/>
          <w:lang w:val="en-US" w:eastAsia="zh-CN"/>
        </w:rPr>
      </w:pPr>
    </w:p>
    <w:p w14:paraId="1EA16BF7">
      <w:pPr>
        <w:numPr>
          <w:ilvl w:val="0"/>
          <w:numId w:val="0"/>
        </w:numPr>
        <w:rPr>
          <w:rFonts w:hint="eastAsia" w:ascii="宋体" w:hAnsi="宋体" w:eastAsia="宋体" w:cs="宋体"/>
          <w:b/>
          <w:bCs/>
          <w:lang w:val="en-US" w:eastAsia="zh-CN"/>
        </w:rPr>
      </w:pPr>
    </w:p>
    <w:p w14:paraId="594118B3">
      <w:pPr>
        <w:numPr>
          <w:ilvl w:val="0"/>
          <w:numId w:val="0"/>
        </w:numPr>
        <w:rPr>
          <w:rFonts w:hint="eastAsia" w:ascii="宋体" w:hAnsi="宋体" w:eastAsia="宋体" w:cs="宋体"/>
          <w:b/>
          <w:bCs/>
          <w:lang w:val="en-US" w:eastAsia="zh-CN"/>
        </w:rPr>
      </w:pPr>
    </w:p>
    <w:p w14:paraId="15ACEF2E">
      <w:pPr>
        <w:numPr>
          <w:ilvl w:val="0"/>
          <w:numId w:val="0"/>
        </w:numPr>
        <w:rPr>
          <w:rFonts w:hint="eastAsia" w:ascii="宋体" w:hAnsi="宋体" w:eastAsia="宋体" w:cs="宋体"/>
          <w:b/>
          <w:bCs/>
          <w:lang w:val="en-US" w:eastAsia="zh-CN"/>
        </w:rPr>
      </w:pPr>
    </w:p>
    <w:p w14:paraId="3A088841">
      <w:pPr>
        <w:numPr>
          <w:ilvl w:val="0"/>
          <w:numId w:val="0"/>
        </w:numPr>
        <w:rPr>
          <w:rFonts w:hint="eastAsia" w:ascii="宋体" w:hAnsi="宋体" w:eastAsia="宋体" w:cs="宋体"/>
          <w:b/>
          <w:bCs/>
          <w:lang w:val="en-US" w:eastAsia="zh-CN"/>
        </w:rPr>
      </w:pPr>
    </w:p>
    <w:p w14:paraId="7725592C">
      <w:pPr>
        <w:numPr>
          <w:ilvl w:val="0"/>
          <w:numId w:val="0"/>
        </w:numPr>
        <w:rPr>
          <w:rFonts w:hint="eastAsia" w:ascii="宋体" w:hAnsi="宋体" w:eastAsia="宋体" w:cs="宋体"/>
          <w:b/>
          <w:bCs/>
          <w:lang w:val="en-US" w:eastAsia="zh-CN"/>
        </w:rPr>
      </w:pPr>
    </w:p>
    <w:p w14:paraId="40D4F4C5">
      <w:pPr>
        <w:numPr>
          <w:ilvl w:val="0"/>
          <w:numId w:val="0"/>
        </w:numPr>
        <w:rPr>
          <w:rFonts w:hint="eastAsia" w:ascii="宋体" w:hAnsi="宋体" w:eastAsia="宋体" w:cs="宋体"/>
          <w:b/>
          <w:bCs/>
          <w:lang w:val="en-US" w:eastAsia="zh-CN"/>
        </w:rPr>
      </w:pPr>
    </w:p>
    <w:p w14:paraId="1B580E17">
      <w:pPr>
        <w:numPr>
          <w:ilvl w:val="0"/>
          <w:numId w:val="0"/>
        </w:numPr>
        <w:rPr>
          <w:rFonts w:hint="eastAsia" w:ascii="宋体" w:hAnsi="宋体" w:eastAsia="宋体" w:cs="宋体"/>
          <w:b/>
          <w:bCs/>
          <w:lang w:val="en-US" w:eastAsia="zh-CN"/>
        </w:rPr>
      </w:pPr>
    </w:p>
    <w:p w14:paraId="3753AF03">
      <w:pPr>
        <w:numPr>
          <w:ilvl w:val="0"/>
          <w:numId w:val="0"/>
        </w:numPr>
        <w:ind w:firstLine="4216" w:firstLineChars="1500"/>
        <w:rPr>
          <w:rFonts w:hint="eastAsia" w:ascii="宋体" w:hAnsi="宋体" w:eastAsia="宋体" w:cs="宋体"/>
          <w:b/>
          <w:bCs/>
          <w:sz w:val="28"/>
          <w:szCs w:val="28"/>
          <w:lang w:val="en-US" w:eastAsia="zh-CN"/>
        </w:rPr>
      </w:pPr>
    </w:p>
    <w:p w14:paraId="2833A373">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东胜部风湿免疫实验室改造项目（二次）</w:t>
      </w:r>
    </w:p>
    <w:p w14:paraId="13F46CBC">
      <w:pPr>
        <w:numPr>
          <w:ilvl w:val="0"/>
          <w:numId w:val="0"/>
        </w:num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2026年10月8日</w:t>
      </w:r>
    </w:p>
    <w:p w14:paraId="3DED3793">
      <w:pPr>
        <w:numPr>
          <w:ilvl w:val="0"/>
          <w:numId w:val="0"/>
        </w:numP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bookmarkStart w:id="1" w:name="_GoBack"/>
      <w:bookmarkEnd w:id="1"/>
    </w:p>
    <w:p w14:paraId="7F07E20D">
      <w:pPr>
        <w:numPr>
          <w:ilvl w:val="0"/>
          <w:numId w:val="0"/>
        </w:numPr>
        <w:spacing w:line="360" w:lineRule="auto"/>
        <w:jc w:val="left"/>
        <w:rPr>
          <w:rFonts w:hint="eastAsia" w:hAnsi="宋体"/>
          <w:sz w:val="24"/>
          <w:szCs w:val="24"/>
          <w:lang w:val="en-US" w:eastAsia="zh-CN"/>
        </w:rPr>
      </w:pPr>
    </w:p>
    <w:p w14:paraId="0B0E5296">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45BBB40C">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59BC41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 xml:space="preserve">一、商务条款  </w:t>
      </w:r>
      <w:r>
        <w:rPr>
          <w:rFonts w:hint="eastAsia" w:ascii="宋体" w:hAnsi="宋体" w:eastAsia="宋体" w:cs="宋体"/>
          <w:b/>
          <w:bCs/>
          <w:sz w:val="24"/>
          <w:szCs w:val="24"/>
          <w:lang w:val="en-US" w:eastAsia="zh-CN"/>
        </w:rPr>
        <w:t xml:space="preserve">                              </w:t>
      </w:r>
      <w:r>
        <w:rPr>
          <w:rFonts w:hint="eastAsia" w:ascii="宋体" w:hAnsi="宋体" w:eastAsia="宋体" w:cs="宋体"/>
          <w:b/>
          <w:bCs/>
          <w:sz w:val="28"/>
          <w:szCs w:val="28"/>
          <w:lang w:val="en-US" w:eastAsia="zh-CN"/>
        </w:rPr>
        <w:t xml:space="preserve"> 货币单位：元</w:t>
      </w:r>
    </w:p>
    <w:tbl>
      <w:tblPr>
        <w:tblStyle w:val="15"/>
        <w:tblW w:w="966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1"/>
        <w:gridCol w:w="2964"/>
        <w:gridCol w:w="1357"/>
        <w:gridCol w:w="1275"/>
        <w:gridCol w:w="1170"/>
        <w:gridCol w:w="1810"/>
      </w:tblGrid>
      <w:tr w14:paraId="29F99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123285E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321" w:type="dxa"/>
            <w:gridSpan w:val="2"/>
            <w:vAlign w:val="center"/>
          </w:tcPr>
          <w:p w14:paraId="3E37CC3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275" w:type="dxa"/>
            <w:vAlign w:val="center"/>
          </w:tcPr>
          <w:p w14:paraId="07310B1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170" w:type="dxa"/>
            <w:vAlign w:val="center"/>
          </w:tcPr>
          <w:p w14:paraId="20208E75">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1810" w:type="dxa"/>
            <w:vAlign w:val="center"/>
          </w:tcPr>
          <w:p w14:paraId="14356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43D32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17C02F4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321" w:type="dxa"/>
            <w:gridSpan w:val="2"/>
            <w:vAlign w:val="center"/>
          </w:tcPr>
          <w:p w14:paraId="76F1662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sz w:val="28"/>
                <w:szCs w:val="28"/>
                <w:lang w:eastAsia="zh-CN"/>
              </w:rPr>
              <w:t>东胜部风湿免疫实验室改造项目</w:t>
            </w:r>
          </w:p>
        </w:tc>
        <w:tc>
          <w:tcPr>
            <w:tcW w:w="1275" w:type="dxa"/>
            <w:vAlign w:val="center"/>
          </w:tcPr>
          <w:p w14:paraId="569A970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项</w:t>
            </w:r>
          </w:p>
        </w:tc>
        <w:tc>
          <w:tcPr>
            <w:tcW w:w="1170" w:type="dxa"/>
            <w:vAlign w:val="center"/>
          </w:tcPr>
          <w:p w14:paraId="535899A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1810" w:type="dxa"/>
            <w:vAlign w:val="center"/>
          </w:tcPr>
          <w:p w14:paraId="1D45D755">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398829.26</w:t>
            </w:r>
          </w:p>
        </w:tc>
      </w:tr>
      <w:tr w14:paraId="4E9F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0B1B03D5">
            <w:pPr>
              <w:widowControl/>
              <w:jc w:val="center"/>
              <w:textAlignment w:val="center"/>
              <w:rPr>
                <w:rFonts w:hint="eastAsia" w:ascii="宋体" w:hAnsi="宋体" w:eastAsia="宋体" w:cs="宋体"/>
                <w:kern w:val="0"/>
                <w:sz w:val="28"/>
                <w:szCs w:val="28"/>
                <w:lang w:val="en-US" w:eastAsia="zh-CN"/>
              </w:rPr>
            </w:pPr>
          </w:p>
        </w:tc>
        <w:tc>
          <w:tcPr>
            <w:tcW w:w="6766" w:type="dxa"/>
            <w:gridSpan w:val="4"/>
            <w:vAlign w:val="center"/>
          </w:tcPr>
          <w:p w14:paraId="1341120E">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总价合计</w:t>
            </w:r>
          </w:p>
        </w:tc>
        <w:tc>
          <w:tcPr>
            <w:tcW w:w="1810" w:type="dxa"/>
            <w:vAlign w:val="center"/>
          </w:tcPr>
          <w:p w14:paraId="1CE8AE64">
            <w:pPr>
              <w:widowControl/>
              <w:jc w:val="center"/>
              <w:textAlignment w:val="center"/>
              <w:rPr>
                <w:rFonts w:hint="default" w:ascii="宋体" w:hAnsi="宋体" w:eastAsia="宋体" w:cs="宋体"/>
                <w:kern w:val="0"/>
                <w:sz w:val="28"/>
                <w:szCs w:val="28"/>
                <w:lang w:val="en-US" w:eastAsia="zh-CN"/>
              </w:rPr>
            </w:pPr>
            <w:r>
              <w:rPr>
                <w:rFonts w:hint="eastAsia" w:ascii="仿宋" w:hAnsi="仿宋" w:eastAsia="仿宋" w:cs="仿宋"/>
                <w:b w:val="0"/>
                <w:bCs w:val="0"/>
                <w:kern w:val="0"/>
                <w:sz w:val="32"/>
                <w:szCs w:val="32"/>
                <w:lang w:val="en-US" w:eastAsia="zh-CN"/>
              </w:rPr>
              <w:t>398829.26</w:t>
            </w:r>
          </w:p>
        </w:tc>
      </w:tr>
      <w:tr w14:paraId="78672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E09C79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2964" w:type="dxa"/>
            <w:vAlign w:val="center"/>
          </w:tcPr>
          <w:p w14:paraId="2228440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612" w:type="dxa"/>
            <w:gridSpan w:val="4"/>
            <w:vAlign w:val="center"/>
          </w:tcPr>
          <w:p w14:paraId="7217420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合同签订后一周内</w:t>
            </w:r>
          </w:p>
        </w:tc>
      </w:tr>
      <w:tr w14:paraId="786B9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7B0E9B0B">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2964" w:type="dxa"/>
            <w:vAlign w:val="center"/>
          </w:tcPr>
          <w:p w14:paraId="5FFB56E9">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工期</w:t>
            </w:r>
          </w:p>
        </w:tc>
        <w:tc>
          <w:tcPr>
            <w:tcW w:w="5612" w:type="dxa"/>
            <w:gridSpan w:val="4"/>
            <w:vAlign w:val="center"/>
          </w:tcPr>
          <w:p w14:paraId="3C4AD7AF">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合同签订后60日内完工</w:t>
            </w:r>
          </w:p>
        </w:tc>
      </w:tr>
      <w:tr w14:paraId="74369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1091" w:type="dxa"/>
            <w:vAlign w:val="center"/>
          </w:tcPr>
          <w:p w14:paraId="6CCE74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2964" w:type="dxa"/>
            <w:vAlign w:val="center"/>
          </w:tcPr>
          <w:p w14:paraId="794A294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质保期</w:t>
            </w:r>
          </w:p>
        </w:tc>
        <w:tc>
          <w:tcPr>
            <w:tcW w:w="5612" w:type="dxa"/>
            <w:gridSpan w:val="4"/>
            <w:vAlign w:val="center"/>
          </w:tcPr>
          <w:p w14:paraId="56B9AF7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2年</w:t>
            </w:r>
          </w:p>
        </w:tc>
      </w:tr>
      <w:tr w14:paraId="19A0B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8" w:hRule="atLeast"/>
          <w:jc w:val="center"/>
        </w:trPr>
        <w:tc>
          <w:tcPr>
            <w:tcW w:w="1091" w:type="dxa"/>
            <w:vAlign w:val="center"/>
          </w:tcPr>
          <w:p w14:paraId="536EF94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2964" w:type="dxa"/>
            <w:vAlign w:val="center"/>
          </w:tcPr>
          <w:p w14:paraId="01AB15D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612" w:type="dxa"/>
            <w:gridSpan w:val="4"/>
            <w:vAlign w:val="center"/>
          </w:tcPr>
          <w:p w14:paraId="06580548">
            <w:pPr>
              <w:widowControl/>
              <w:jc w:val="both"/>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施工完成验收合格后付审计审定金额的95%，剩余5%质保金二年质保期满无质量问题付清</w:t>
            </w:r>
          </w:p>
        </w:tc>
      </w:tr>
      <w:tr w14:paraId="10EDB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1091" w:type="dxa"/>
            <w:vAlign w:val="center"/>
          </w:tcPr>
          <w:p w14:paraId="5F04D5C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2964" w:type="dxa"/>
            <w:vAlign w:val="center"/>
          </w:tcPr>
          <w:p w14:paraId="2FD57B8A">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612" w:type="dxa"/>
            <w:gridSpan w:val="4"/>
            <w:vAlign w:val="center"/>
          </w:tcPr>
          <w:p w14:paraId="48629369">
            <w:pPr>
              <w:pStyle w:val="7"/>
              <w:numPr>
                <w:ilvl w:val="0"/>
                <w:numId w:val="0"/>
              </w:numPr>
              <w:tabs>
                <w:tab w:val="left" w:pos="639"/>
              </w:tabs>
              <w:spacing w:line="240" w:lineRule="auto"/>
              <w:jc w:val="left"/>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bidi="ar-SA"/>
              </w:rPr>
              <w:t>投标人具备有效的建筑装修装饰工程专业承包乙级（原二级）及以上资质</w:t>
            </w:r>
          </w:p>
        </w:tc>
      </w:tr>
    </w:tbl>
    <w:p w14:paraId="6E4C0A80">
      <w:pPr>
        <w:rPr>
          <w:rFonts w:hint="eastAsia" w:hAnsi="宋体"/>
          <w:sz w:val="24"/>
          <w:szCs w:val="24"/>
          <w:lang w:val="en-US" w:eastAsia="zh-CN"/>
        </w:rPr>
      </w:pPr>
      <w:r>
        <w:rPr>
          <w:rFonts w:hint="eastAsia" w:hAnsi="宋体"/>
          <w:sz w:val="24"/>
          <w:szCs w:val="24"/>
          <w:lang w:val="en-US" w:eastAsia="zh-CN"/>
        </w:rPr>
        <w:t xml:space="preserve">  </w:t>
      </w:r>
    </w:p>
    <w:p w14:paraId="27E9B3E8">
      <w:pPr>
        <w:keepNext w:val="0"/>
        <w:keepLines w:val="0"/>
        <w:pageBreakBefore w:val="0"/>
        <w:widowControl/>
        <w:numPr>
          <w:ilvl w:val="0"/>
          <w:numId w:val="2"/>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b/>
          <w:bCs/>
          <w:sz w:val="28"/>
          <w:szCs w:val="28"/>
          <w:lang w:val="en-US" w:eastAsia="zh-CN"/>
        </w:rPr>
        <w:t>项目概况</w:t>
      </w:r>
    </w:p>
    <w:p w14:paraId="721FD28D">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（一）项目基本情况介绍：</w:t>
      </w:r>
      <w:r>
        <w:rPr>
          <w:rFonts w:hint="eastAsia" w:ascii="仿宋" w:hAnsi="仿宋" w:eastAsia="仿宋" w:cs="仿宋"/>
          <w:color w:val="000000"/>
          <w:sz w:val="32"/>
          <w:szCs w:val="32"/>
          <w:u w:val="single"/>
        </w:rPr>
        <w:t xml:space="preserve">  </w:t>
      </w:r>
      <w:r>
        <w:rPr>
          <w:rFonts w:hint="eastAsia" w:ascii="仿宋" w:eastAsia="仿宋" w:cs="仿宋"/>
          <w:color w:val="auto"/>
          <w:kern w:val="2"/>
          <w:sz w:val="32"/>
          <w:szCs w:val="32"/>
          <w:u w:val="single"/>
          <w:lang w:val="en-US" w:eastAsia="zh-CN" w:bidi="ar-SA"/>
        </w:rPr>
        <w:t>为深入贯彻落实医院高质量发展战略，提升我院专科建设水平与综合服务能力，拟组建“风湿免疫肾脏联合实验室”。</w:t>
      </w:r>
      <w:r>
        <w:rPr>
          <w:rFonts w:hint="eastAsia" w:ascii="仿宋" w:eastAsia="仿宋" w:cs="仿宋"/>
          <w:color w:val="auto"/>
          <w:sz w:val="32"/>
          <w:szCs w:val="32"/>
          <w:u w:val="single"/>
          <w:lang w:val="en-US" w:eastAsia="zh-CN" w:bidi="ar-SA"/>
        </w:rPr>
        <w:t>改造面积为94.55平米。</w:t>
      </w:r>
    </w:p>
    <w:p w14:paraId="6823D47D">
      <w:pPr>
        <w:spacing w:line="360" w:lineRule="auto"/>
        <w:jc w:val="left"/>
        <w:rPr>
          <w:rFonts w:hint="eastAsia" w:ascii="仿宋" w:hAnsi="仿宋" w:eastAsia="仿宋" w:cs="仿宋"/>
          <w:color w:val="000000"/>
          <w:sz w:val="32"/>
          <w:szCs w:val="32"/>
        </w:rPr>
      </w:pPr>
    </w:p>
    <w:p w14:paraId="0DB980E4">
      <w:pPr>
        <w:spacing w:line="360" w:lineRule="auto"/>
        <w:jc w:val="left"/>
        <w:rPr>
          <w:rFonts w:hint="eastAsia" w:ascii="仿宋" w:hAnsi="仿宋" w:eastAsia="仿宋" w:cs="仿宋"/>
          <w:color w:val="000000"/>
          <w:sz w:val="32"/>
          <w:szCs w:val="32"/>
        </w:rPr>
      </w:pPr>
    </w:p>
    <w:p w14:paraId="45BC2112">
      <w:pPr>
        <w:spacing w:line="360" w:lineRule="auto"/>
        <w:jc w:val="left"/>
        <w:rPr>
          <w:rFonts w:hint="eastAsia" w:ascii="仿宋" w:hAnsi="仿宋" w:eastAsia="仿宋" w:cs="仿宋"/>
          <w:color w:val="000000"/>
          <w:sz w:val="32"/>
          <w:szCs w:val="32"/>
        </w:rPr>
      </w:pPr>
    </w:p>
    <w:p w14:paraId="0C8F8670">
      <w:pPr>
        <w:spacing w:line="360" w:lineRule="auto"/>
        <w:jc w:val="left"/>
        <w:rPr>
          <w:rFonts w:hint="eastAsia" w:ascii="仿宋" w:hAnsi="仿宋" w:eastAsia="仿宋" w:cs="仿宋"/>
          <w:color w:val="000000"/>
          <w:sz w:val="32"/>
          <w:szCs w:val="32"/>
        </w:rPr>
      </w:pPr>
    </w:p>
    <w:p w14:paraId="1F2403F2">
      <w:pPr>
        <w:spacing w:line="360" w:lineRule="auto"/>
        <w:jc w:val="left"/>
        <w:rPr>
          <w:rFonts w:hint="eastAsia" w:ascii="仿宋" w:hAnsi="仿宋" w:eastAsia="仿宋" w:cs="仿宋"/>
          <w:color w:val="000000"/>
          <w:sz w:val="32"/>
          <w:szCs w:val="32"/>
        </w:rPr>
      </w:pPr>
    </w:p>
    <w:p w14:paraId="54B89272">
      <w:pPr>
        <w:spacing w:line="360" w:lineRule="auto"/>
        <w:jc w:val="left"/>
        <w:rPr>
          <w:rFonts w:hint="eastAsia" w:ascii="仿宋" w:hAnsi="仿宋" w:eastAsia="仿宋" w:cs="仿宋"/>
          <w:color w:val="000000"/>
          <w:sz w:val="32"/>
          <w:szCs w:val="32"/>
        </w:rPr>
      </w:pPr>
      <w:r>
        <w:rPr>
          <w:rFonts w:hint="eastAsia" w:ascii="仿宋" w:hAnsi="仿宋" w:eastAsia="仿宋" w:cs="仿宋"/>
          <w:color w:val="000000"/>
          <w:sz w:val="32"/>
          <w:szCs w:val="32"/>
        </w:rPr>
        <w:t>（二）技术参数和要求（功能和质量）</w:t>
      </w:r>
    </w:p>
    <w:tbl>
      <w:tblPr>
        <w:tblStyle w:val="14"/>
        <w:tblW w:w="9738" w:type="dxa"/>
        <w:jc w:val="center"/>
        <w:tblLayout w:type="fixed"/>
        <w:tblCellMar>
          <w:top w:w="0" w:type="dxa"/>
          <w:left w:w="108" w:type="dxa"/>
          <w:bottom w:w="0" w:type="dxa"/>
          <w:right w:w="108" w:type="dxa"/>
        </w:tblCellMar>
      </w:tblPr>
      <w:tblGrid>
        <w:gridCol w:w="1543"/>
        <w:gridCol w:w="1125"/>
        <w:gridCol w:w="7070"/>
      </w:tblGrid>
      <w:tr w14:paraId="5B6C800A">
        <w:tblPrEx>
          <w:tblCellMar>
            <w:top w:w="0" w:type="dxa"/>
            <w:left w:w="108" w:type="dxa"/>
            <w:bottom w:w="0" w:type="dxa"/>
            <w:right w:w="108" w:type="dxa"/>
          </w:tblCellMar>
        </w:tblPrEx>
        <w:trPr>
          <w:trHeight w:val="58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712A07A">
            <w:pPr>
              <w:widowControl/>
              <w:jc w:val="center"/>
              <w:rPr>
                <w:rFonts w:ascii="宋体" w:hAnsi="宋体" w:eastAsia="宋体" w:cs="宋体"/>
                <w:sz w:val="32"/>
                <w:szCs w:val="32"/>
              </w:rPr>
            </w:pPr>
            <w:r>
              <w:rPr>
                <w:rFonts w:hint="eastAsia" w:ascii="宋体" w:hAnsi="宋体" w:eastAsia="宋体" w:cs="宋体"/>
                <w:sz w:val="32"/>
                <w:szCs w:val="32"/>
              </w:rPr>
              <w:t>参数性质</w:t>
            </w:r>
          </w:p>
        </w:tc>
        <w:tc>
          <w:tcPr>
            <w:tcW w:w="1125" w:type="dxa"/>
            <w:tcBorders>
              <w:top w:val="single" w:color="auto" w:sz="4" w:space="0"/>
              <w:left w:val="nil"/>
              <w:bottom w:val="single" w:color="auto" w:sz="4" w:space="0"/>
              <w:right w:val="single" w:color="auto" w:sz="4" w:space="0"/>
            </w:tcBorders>
            <w:vAlign w:val="center"/>
          </w:tcPr>
          <w:p w14:paraId="22A4DF1B">
            <w:pPr>
              <w:widowControl/>
              <w:jc w:val="center"/>
              <w:rPr>
                <w:rFonts w:ascii="宋体" w:hAnsi="宋体" w:eastAsia="宋体" w:cs="宋体"/>
                <w:sz w:val="32"/>
                <w:szCs w:val="32"/>
              </w:rPr>
            </w:pPr>
            <w:r>
              <w:rPr>
                <w:rFonts w:hint="eastAsia" w:ascii="宋体" w:hAnsi="宋体" w:eastAsia="宋体" w:cs="宋体"/>
                <w:sz w:val="32"/>
                <w:szCs w:val="32"/>
              </w:rPr>
              <w:t>编号</w:t>
            </w:r>
          </w:p>
        </w:tc>
        <w:tc>
          <w:tcPr>
            <w:tcW w:w="7070" w:type="dxa"/>
            <w:tcBorders>
              <w:top w:val="single" w:color="auto" w:sz="4" w:space="0"/>
              <w:left w:val="nil"/>
              <w:bottom w:val="single" w:color="auto" w:sz="4" w:space="0"/>
              <w:right w:val="single" w:color="auto" w:sz="4" w:space="0"/>
            </w:tcBorders>
            <w:vAlign w:val="center"/>
          </w:tcPr>
          <w:p w14:paraId="0721E436">
            <w:pPr>
              <w:widowControl/>
              <w:jc w:val="center"/>
              <w:rPr>
                <w:rFonts w:ascii="宋体" w:hAnsi="宋体" w:eastAsia="宋体" w:cs="宋体"/>
                <w:sz w:val="32"/>
                <w:szCs w:val="32"/>
              </w:rPr>
            </w:pPr>
            <w:r>
              <w:rPr>
                <w:rFonts w:hint="eastAsia" w:ascii="宋体" w:hAnsi="宋体" w:eastAsia="宋体" w:cs="宋体"/>
                <w:sz w:val="32"/>
                <w:szCs w:val="32"/>
              </w:rPr>
              <w:t>技术参数和要求</w:t>
            </w:r>
          </w:p>
        </w:tc>
      </w:tr>
      <w:tr w14:paraId="54C6DB28">
        <w:tblPrEx>
          <w:tblCellMar>
            <w:top w:w="0" w:type="dxa"/>
            <w:left w:w="108" w:type="dxa"/>
            <w:bottom w:w="0" w:type="dxa"/>
            <w:right w:w="108" w:type="dxa"/>
          </w:tblCellMar>
        </w:tblPrEx>
        <w:trPr>
          <w:trHeight w:val="585" w:hRule="atLeast"/>
          <w:jc w:val="center"/>
        </w:trPr>
        <w:tc>
          <w:tcPr>
            <w:tcW w:w="9738" w:type="dxa"/>
            <w:gridSpan w:val="3"/>
            <w:tcBorders>
              <w:top w:val="single" w:color="auto" w:sz="4" w:space="0"/>
              <w:left w:val="single" w:color="auto" w:sz="4" w:space="0"/>
              <w:bottom w:val="single" w:color="auto" w:sz="4" w:space="0"/>
              <w:right w:val="single" w:color="auto" w:sz="4" w:space="0"/>
            </w:tcBorders>
            <w:vAlign w:val="center"/>
          </w:tcPr>
          <w:p w14:paraId="4E5734A7">
            <w:pPr>
              <w:widowControl/>
              <w:jc w:val="center"/>
              <w:rPr>
                <w:rFonts w:hint="eastAsia" w:ascii="宋体" w:hAnsi="宋体" w:eastAsia="宋体" w:cs="宋体"/>
                <w:sz w:val="32"/>
                <w:szCs w:val="32"/>
              </w:rPr>
            </w:pPr>
            <w:r>
              <w:rPr>
                <w:rFonts w:hint="eastAsia" w:ascii="宋体" w:hAnsi="宋体" w:eastAsia="宋体" w:cs="宋体"/>
                <w:sz w:val="32"/>
                <w:szCs w:val="32"/>
              </w:rPr>
              <w:t>施工要求</w:t>
            </w:r>
          </w:p>
        </w:tc>
      </w:tr>
      <w:tr w14:paraId="2331F82D">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17E6D65E">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600CE77">
            <w:pPr>
              <w:widowControl/>
              <w:jc w:val="center"/>
              <w:rPr>
                <w:rFonts w:hint="eastAsia" w:ascii="宋体" w:hAnsi="宋体" w:eastAsia="宋体" w:cs="宋体"/>
                <w:sz w:val="28"/>
                <w:szCs w:val="28"/>
              </w:rPr>
            </w:pPr>
            <w:r>
              <w:rPr>
                <w:rFonts w:hint="eastAsia" w:ascii="宋体" w:hAnsi="宋体" w:eastAsia="宋体" w:cs="宋体"/>
                <w:sz w:val="28"/>
                <w:szCs w:val="28"/>
              </w:rPr>
              <w:t>1</w:t>
            </w:r>
          </w:p>
        </w:tc>
        <w:tc>
          <w:tcPr>
            <w:tcW w:w="7070" w:type="dxa"/>
            <w:tcBorders>
              <w:top w:val="single" w:color="auto" w:sz="4" w:space="0"/>
              <w:left w:val="nil"/>
              <w:bottom w:val="single" w:color="auto" w:sz="4" w:space="0"/>
              <w:right w:val="single" w:color="auto" w:sz="4" w:space="0"/>
            </w:tcBorders>
            <w:vAlign w:val="center"/>
          </w:tcPr>
          <w:p w14:paraId="1C4C5507">
            <w:pPr>
              <w:widowControl/>
              <w:jc w:val="left"/>
              <w:rPr>
                <w:rFonts w:hint="eastAsia" w:ascii="宋体" w:hAnsi="宋体" w:eastAsia="宋体" w:cs="宋体"/>
                <w:sz w:val="28"/>
                <w:szCs w:val="28"/>
              </w:rPr>
            </w:pPr>
            <w:r>
              <w:rPr>
                <w:rFonts w:hint="eastAsia" w:ascii="宋体" w:hAnsi="宋体" w:eastAsia="宋体" w:cs="宋体"/>
                <w:sz w:val="28"/>
                <w:szCs w:val="28"/>
              </w:rPr>
              <w:t>本工程严格按施工图纸、现行规范及现场现状组织施工。</w:t>
            </w:r>
          </w:p>
        </w:tc>
      </w:tr>
      <w:tr w14:paraId="35058566">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4F6882C2">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276B7364">
            <w:pPr>
              <w:widowControl/>
              <w:jc w:val="center"/>
              <w:rPr>
                <w:rFonts w:hint="eastAsia" w:ascii="宋体" w:hAnsi="宋体" w:eastAsia="宋体" w:cs="宋体"/>
                <w:sz w:val="28"/>
                <w:szCs w:val="28"/>
              </w:rPr>
            </w:pPr>
            <w:r>
              <w:rPr>
                <w:rFonts w:hint="eastAsia" w:ascii="宋体" w:hAnsi="宋体" w:eastAsia="宋体" w:cs="宋体"/>
                <w:sz w:val="28"/>
                <w:szCs w:val="28"/>
              </w:rPr>
              <w:t>2</w:t>
            </w:r>
          </w:p>
        </w:tc>
        <w:tc>
          <w:tcPr>
            <w:tcW w:w="7070" w:type="dxa"/>
            <w:tcBorders>
              <w:top w:val="single" w:color="auto" w:sz="4" w:space="0"/>
              <w:left w:val="nil"/>
              <w:bottom w:val="single" w:color="auto" w:sz="4" w:space="0"/>
              <w:right w:val="single" w:color="auto" w:sz="4" w:space="0"/>
            </w:tcBorders>
            <w:vAlign w:val="center"/>
          </w:tcPr>
          <w:p w14:paraId="0CB9809C">
            <w:pPr>
              <w:tabs>
                <w:tab w:val="left" w:pos="1193"/>
              </w:tabs>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施工全过程必须保障医院急救通道、消防通道、门诊人行通道24小时畅通，不得封闭、占用主通行路线，不得影响正常诊疗、急救转运工作。</w:t>
            </w:r>
          </w:p>
        </w:tc>
      </w:tr>
      <w:tr w14:paraId="6392706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21B6086">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5BA60356">
            <w:pPr>
              <w:widowControl/>
              <w:jc w:val="center"/>
              <w:rPr>
                <w:rFonts w:hint="eastAsia" w:ascii="宋体" w:hAnsi="宋体" w:eastAsia="宋体" w:cs="宋体"/>
                <w:sz w:val="28"/>
                <w:szCs w:val="28"/>
              </w:rPr>
            </w:pPr>
            <w:r>
              <w:rPr>
                <w:rFonts w:hint="eastAsia" w:ascii="宋体" w:hAnsi="宋体" w:eastAsia="宋体" w:cs="宋体"/>
                <w:sz w:val="28"/>
                <w:szCs w:val="28"/>
              </w:rPr>
              <w:t>3</w:t>
            </w:r>
          </w:p>
        </w:tc>
        <w:tc>
          <w:tcPr>
            <w:tcW w:w="7070" w:type="dxa"/>
            <w:tcBorders>
              <w:top w:val="single" w:color="auto" w:sz="4" w:space="0"/>
              <w:left w:val="nil"/>
              <w:bottom w:val="single" w:color="auto" w:sz="4" w:space="0"/>
              <w:right w:val="single" w:color="auto" w:sz="4" w:space="0"/>
            </w:tcBorders>
            <w:vAlign w:val="center"/>
          </w:tcPr>
          <w:p w14:paraId="2D35BA7B">
            <w:pPr>
              <w:jc w:val="left"/>
              <w:rPr>
                <w:rFonts w:hint="eastAsia" w:ascii="宋体" w:hAnsi="宋体" w:eastAsia="宋体" w:cs="宋体"/>
                <w:sz w:val="28"/>
                <w:szCs w:val="28"/>
              </w:rPr>
            </w:pPr>
            <w:r>
              <w:rPr>
                <w:rFonts w:hint="eastAsia" w:ascii="宋体" w:hAnsi="宋体" w:eastAsia="宋体" w:cs="宋体"/>
                <w:sz w:val="28"/>
                <w:szCs w:val="28"/>
              </w:rPr>
              <w:t>施工不得破坏原有建筑主体结构、承重构件；拆改墙体必须经原设计或第三方结构复核确认。</w:t>
            </w:r>
          </w:p>
        </w:tc>
      </w:tr>
      <w:tr w14:paraId="7BAAC92D">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A340D0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B50D97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w:t>
            </w:r>
          </w:p>
        </w:tc>
        <w:tc>
          <w:tcPr>
            <w:tcW w:w="7070" w:type="dxa"/>
            <w:tcBorders>
              <w:top w:val="single" w:color="auto" w:sz="4" w:space="0"/>
              <w:left w:val="nil"/>
              <w:bottom w:val="single" w:color="auto" w:sz="4" w:space="0"/>
              <w:right w:val="single" w:color="auto" w:sz="4" w:space="0"/>
            </w:tcBorders>
            <w:vAlign w:val="center"/>
          </w:tcPr>
          <w:p w14:paraId="078FE892">
            <w:pPr>
              <w:jc w:val="left"/>
              <w:rPr>
                <w:rFonts w:hint="eastAsia" w:ascii="宋体" w:hAnsi="宋体" w:eastAsia="宋体" w:cs="宋体"/>
                <w:sz w:val="28"/>
                <w:szCs w:val="28"/>
              </w:rPr>
            </w:pPr>
            <w:r>
              <w:rPr>
                <w:rFonts w:hint="eastAsia" w:ascii="宋体" w:hAnsi="宋体" w:eastAsia="宋体" w:cs="宋体"/>
                <w:sz w:val="28"/>
                <w:szCs w:val="28"/>
              </w:rPr>
              <w:t>进场所有原材料、构配件、成品材料必须具备合格证</w:t>
            </w:r>
            <w:r>
              <w:rPr>
                <w:rFonts w:hint="eastAsia" w:ascii="宋体" w:hAnsi="宋体" w:eastAsia="宋体" w:cs="宋体"/>
                <w:sz w:val="28"/>
                <w:szCs w:val="28"/>
                <w:lang w:val="en-US" w:eastAsia="zh-CN"/>
              </w:rPr>
              <w:t>或</w:t>
            </w:r>
            <w:r>
              <w:rPr>
                <w:rFonts w:hint="eastAsia" w:ascii="宋体" w:hAnsi="宋体" w:eastAsia="宋体" w:cs="宋体"/>
                <w:sz w:val="28"/>
                <w:szCs w:val="28"/>
              </w:rPr>
              <w:t>质量证明文件，进场报验合格后方可使用，严禁不合格材料、三无材料进场。</w:t>
            </w:r>
          </w:p>
        </w:tc>
      </w:tr>
      <w:tr w14:paraId="339F46EE">
        <w:tblPrEx>
          <w:tblCellMar>
            <w:top w:w="0" w:type="dxa"/>
            <w:left w:w="108" w:type="dxa"/>
            <w:bottom w:w="0" w:type="dxa"/>
            <w:right w:w="108" w:type="dxa"/>
          </w:tblCellMar>
        </w:tblPrEx>
        <w:trPr>
          <w:trHeight w:val="1735"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0169ED4">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642B843D">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w:t>
            </w:r>
          </w:p>
        </w:tc>
        <w:tc>
          <w:tcPr>
            <w:tcW w:w="7070" w:type="dxa"/>
            <w:tcBorders>
              <w:top w:val="single" w:color="auto" w:sz="4" w:space="0"/>
              <w:left w:val="nil"/>
              <w:bottom w:val="single" w:color="auto" w:sz="4" w:space="0"/>
              <w:right w:val="single" w:color="auto" w:sz="4" w:space="0"/>
            </w:tcBorders>
            <w:vAlign w:val="center"/>
          </w:tcPr>
          <w:p w14:paraId="230D64C4">
            <w:pPr>
              <w:jc w:val="left"/>
              <w:rPr>
                <w:rFonts w:hint="eastAsia" w:ascii="宋体" w:hAnsi="宋体" w:eastAsia="宋体" w:cs="宋体"/>
                <w:sz w:val="28"/>
                <w:szCs w:val="28"/>
                <w:lang w:eastAsia="zh-CN"/>
              </w:rPr>
            </w:pPr>
            <w:r>
              <w:rPr>
                <w:rFonts w:hint="eastAsia" w:ascii="宋体" w:hAnsi="宋体" w:eastAsia="宋体" w:cs="宋体"/>
                <w:sz w:val="28"/>
                <w:szCs w:val="28"/>
              </w:rPr>
              <w:t>施工期间采取封闭式围挡、降尘、降噪措施，合理排布施工时序，避开门诊就诊高峰时段，严控夜间高噪音作业，最大限度减少施工扬尘、噪音对病患及院区环境影响。</w:t>
            </w:r>
          </w:p>
        </w:tc>
      </w:tr>
      <w:tr w14:paraId="1D20F1B6">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2B252F53">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309A575F">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w:t>
            </w:r>
          </w:p>
        </w:tc>
        <w:tc>
          <w:tcPr>
            <w:tcW w:w="7070" w:type="dxa"/>
            <w:tcBorders>
              <w:top w:val="single" w:color="auto" w:sz="4" w:space="0"/>
              <w:left w:val="nil"/>
              <w:bottom w:val="single" w:color="auto" w:sz="4" w:space="0"/>
              <w:right w:val="single" w:color="auto" w:sz="4" w:space="0"/>
            </w:tcBorders>
            <w:vAlign w:val="center"/>
          </w:tcPr>
          <w:p w14:paraId="7678E7AB">
            <w:pPr>
              <w:jc w:val="left"/>
              <w:rPr>
                <w:rFonts w:hint="eastAsia" w:ascii="宋体" w:hAnsi="宋体" w:eastAsia="宋体" w:cs="宋体"/>
                <w:sz w:val="28"/>
                <w:szCs w:val="28"/>
              </w:rPr>
            </w:pPr>
            <w:r>
              <w:rPr>
                <w:rFonts w:hint="eastAsia" w:ascii="宋体" w:hAnsi="宋体" w:eastAsia="宋体" w:cs="宋体"/>
                <w:sz w:val="28"/>
                <w:szCs w:val="28"/>
              </w:rPr>
              <w:t>严禁随意关停医院强电、弱电、给排水、医疗气体、消防系统；涉及管线接驳、停水停电，必须提前多部门审批，安排在夜间/非门诊时间实施。</w:t>
            </w:r>
          </w:p>
        </w:tc>
      </w:tr>
      <w:tr w14:paraId="5ADCF1FA">
        <w:tblPrEx>
          <w:tblCellMar>
            <w:top w:w="0" w:type="dxa"/>
            <w:left w:w="108" w:type="dxa"/>
            <w:bottom w:w="0" w:type="dxa"/>
            <w:right w:w="108" w:type="dxa"/>
          </w:tblCellMar>
        </w:tblPrEx>
        <w:trPr>
          <w:trHeight w:val="1160"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66FC956A">
            <w:pPr>
              <w:widowControl/>
              <w:jc w:val="center"/>
              <w:rPr>
                <w:rFonts w:hint="eastAsia" w:ascii="宋体" w:hAnsi="宋体" w:eastAsia="宋体" w:cs="宋体"/>
                <w:sz w:val="28"/>
                <w:szCs w:val="28"/>
              </w:rPr>
            </w:pPr>
          </w:p>
        </w:tc>
        <w:tc>
          <w:tcPr>
            <w:tcW w:w="1125" w:type="dxa"/>
            <w:tcBorders>
              <w:top w:val="single" w:color="auto" w:sz="4" w:space="0"/>
              <w:left w:val="nil"/>
              <w:bottom w:val="single" w:color="auto" w:sz="4" w:space="0"/>
              <w:right w:val="single" w:color="auto" w:sz="4" w:space="0"/>
            </w:tcBorders>
            <w:vAlign w:val="center"/>
          </w:tcPr>
          <w:p w14:paraId="70C9D4BB">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w:t>
            </w:r>
          </w:p>
        </w:tc>
        <w:tc>
          <w:tcPr>
            <w:tcW w:w="7070" w:type="dxa"/>
            <w:tcBorders>
              <w:top w:val="single" w:color="auto" w:sz="4" w:space="0"/>
              <w:left w:val="nil"/>
              <w:bottom w:val="single" w:color="auto" w:sz="4" w:space="0"/>
              <w:right w:val="single" w:color="auto" w:sz="4" w:space="0"/>
            </w:tcBorders>
            <w:vAlign w:val="center"/>
          </w:tcPr>
          <w:p w14:paraId="6BB9E48D">
            <w:pPr>
              <w:jc w:val="left"/>
              <w:rPr>
                <w:rFonts w:hint="eastAsia" w:ascii="宋体" w:hAnsi="宋体" w:eastAsia="宋体" w:cs="宋体"/>
                <w:sz w:val="28"/>
                <w:szCs w:val="28"/>
                <w:lang w:eastAsia="zh-CN"/>
              </w:rPr>
            </w:pPr>
            <w:r>
              <w:rPr>
                <w:rFonts w:hint="eastAsia" w:ascii="宋体" w:hAnsi="宋体" w:eastAsia="宋体" w:cs="宋体"/>
                <w:sz w:val="28"/>
                <w:szCs w:val="28"/>
              </w:rPr>
              <w:t>施工期间定期对围挡周边公共区域清洁消毒；如发生粉尘外泄，立即停工整改。</w:t>
            </w:r>
          </w:p>
        </w:tc>
      </w:tr>
      <w:tr w14:paraId="500D13BD">
        <w:tblPrEx>
          <w:tblCellMar>
            <w:top w:w="0" w:type="dxa"/>
            <w:left w:w="108" w:type="dxa"/>
            <w:bottom w:w="0" w:type="dxa"/>
            <w:right w:w="108" w:type="dxa"/>
          </w:tblCellMar>
        </w:tblPrEx>
        <w:trPr>
          <w:trHeight w:val="1278"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023E3166">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51BA906">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w:t>
            </w:r>
          </w:p>
        </w:tc>
        <w:tc>
          <w:tcPr>
            <w:tcW w:w="7070" w:type="dxa"/>
            <w:tcBorders>
              <w:top w:val="single" w:color="auto" w:sz="4" w:space="0"/>
              <w:left w:val="nil"/>
              <w:bottom w:val="single" w:color="auto" w:sz="4" w:space="0"/>
              <w:right w:val="single" w:color="auto" w:sz="4" w:space="0"/>
            </w:tcBorders>
            <w:vAlign w:val="center"/>
          </w:tcPr>
          <w:p w14:paraId="3EAC40BB">
            <w:pPr>
              <w:jc w:val="left"/>
              <w:rPr>
                <w:rFonts w:hint="eastAsia" w:ascii="宋体" w:hAnsi="宋体" w:eastAsia="宋体" w:cs="宋体"/>
                <w:sz w:val="28"/>
                <w:szCs w:val="28"/>
                <w:lang w:val="en-US"/>
              </w:rPr>
            </w:pPr>
            <w:r>
              <w:rPr>
                <w:rFonts w:hint="eastAsia" w:ascii="宋体" w:hAnsi="宋体" w:eastAsia="宋体" w:cs="宋体"/>
                <w:sz w:val="28"/>
                <w:szCs w:val="28"/>
              </w:rPr>
              <w:t>施工垃圾袋装密闭，每日及时清运，不得在公共区域堆放；垃圾运输走专用货运通道，避开就诊高峰。</w:t>
            </w:r>
          </w:p>
        </w:tc>
      </w:tr>
      <w:tr w14:paraId="0657991B">
        <w:tblPrEx>
          <w:tblCellMar>
            <w:top w:w="0" w:type="dxa"/>
            <w:left w:w="108" w:type="dxa"/>
            <w:bottom w:w="0" w:type="dxa"/>
            <w:right w:w="108" w:type="dxa"/>
          </w:tblCellMar>
        </w:tblPrEx>
        <w:trPr>
          <w:trHeight w:val="1651" w:hRule="atLeast"/>
          <w:jc w:val="center"/>
        </w:trPr>
        <w:tc>
          <w:tcPr>
            <w:tcW w:w="1543" w:type="dxa"/>
            <w:tcBorders>
              <w:top w:val="single" w:color="auto" w:sz="4" w:space="0"/>
              <w:left w:val="single" w:color="auto" w:sz="4" w:space="0"/>
              <w:bottom w:val="single" w:color="auto" w:sz="4" w:space="0"/>
              <w:right w:val="single" w:color="auto" w:sz="4" w:space="0"/>
            </w:tcBorders>
            <w:vAlign w:val="center"/>
          </w:tcPr>
          <w:p w14:paraId="362A4C14">
            <w:pPr>
              <w:widowControl/>
              <w:jc w:val="center"/>
              <w:rPr>
                <w:rFonts w:hint="eastAsia" w:ascii="宋体" w:hAnsi="宋体" w:eastAsia="宋体" w:cs="宋体"/>
                <w:sz w:val="28"/>
                <w:szCs w:val="28"/>
                <w:lang w:eastAsia="zh-CN"/>
              </w:rPr>
            </w:pPr>
          </w:p>
        </w:tc>
        <w:tc>
          <w:tcPr>
            <w:tcW w:w="1125" w:type="dxa"/>
            <w:tcBorders>
              <w:top w:val="single" w:color="auto" w:sz="4" w:space="0"/>
              <w:left w:val="nil"/>
              <w:bottom w:val="single" w:color="auto" w:sz="4" w:space="0"/>
              <w:right w:val="single" w:color="auto" w:sz="4" w:space="0"/>
            </w:tcBorders>
            <w:vAlign w:val="center"/>
          </w:tcPr>
          <w:p w14:paraId="0745CFC5">
            <w:pPr>
              <w:widowControl/>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9</w:t>
            </w:r>
          </w:p>
        </w:tc>
        <w:tc>
          <w:tcPr>
            <w:tcW w:w="7070" w:type="dxa"/>
            <w:tcBorders>
              <w:top w:val="single" w:color="auto" w:sz="4" w:space="0"/>
              <w:left w:val="nil"/>
              <w:bottom w:val="single" w:color="auto" w:sz="4" w:space="0"/>
              <w:right w:val="single" w:color="auto" w:sz="4" w:space="0"/>
            </w:tcBorders>
            <w:vAlign w:val="center"/>
          </w:tcPr>
          <w:p w14:paraId="4F67EFBF">
            <w:pPr>
              <w:jc w:val="left"/>
              <w:rPr>
                <w:rFonts w:hint="eastAsia" w:ascii="宋体" w:hAnsi="宋体" w:eastAsia="宋体" w:cs="宋体"/>
                <w:sz w:val="28"/>
                <w:szCs w:val="28"/>
                <w:lang w:eastAsia="zh-CN"/>
              </w:rPr>
            </w:pPr>
            <w:r>
              <w:rPr>
                <w:rFonts w:hint="eastAsia" w:ascii="宋体" w:hAnsi="宋体" w:eastAsia="宋体" w:cs="宋体"/>
                <w:sz w:val="28"/>
                <w:szCs w:val="28"/>
                <w:lang w:eastAsia="zh-CN"/>
              </w:rPr>
              <w:t>工程竣工验收后，须完整移交竣工图纸、材料合格证、影像资料、验收备案全套纸质及电子档案资料。</w:t>
            </w:r>
          </w:p>
        </w:tc>
      </w:tr>
    </w:tbl>
    <w:p w14:paraId="12F6CD2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5E08B35">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CD8904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3F56CC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447E922">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13EDCC3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164551F">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6A71D7CD">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636064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BD3F844">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6C78FF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7D00E573">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0983E0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0C24E70E">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27F462E7">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41F2069">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467F6F5B">
      <w:pPr>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3C232318">
      <w:pPr>
        <w:keepNext w:val="0"/>
        <w:keepLines w:val="0"/>
        <w:pageBreakBefore w:val="0"/>
        <w:widowControl/>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b/>
          <w:sz w:val="28"/>
          <w:szCs w:val="28"/>
        </w:rPr>
      </w:pPr>
      <w:r>
        <w:rPr>
          <w:rFonts w:hint="eastAsia" w:eastAsia="宋体" w:asciiTheme="minorEastAsia" w:hAnsiTheme="minorEastAsia"/>
          <w:b/>
          <w:sz w:val="28"/>
          <w:szCs w:val="28"/>
          <w:lang w:val="en-US" w:eastAsia="zh-CN"/>
        </w:rPr>
        <w:t>三、资格审查表</w:t>
      </w:r>
    </w:p>
    <w:tbl>
      <w:tblPr>
        <w:tblStyle w:val="14"/>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（如有）</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5D217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F3F0C6D">
      <w:pPr>
        <w:pStyle w:val="2"/>
        <w:rPr>
          <w:rFonts w:hint="eastAsia"/>
          <w:lang w:val="en-US" w:eastAsia="zh-CN"/>
        </w:rPr>
      </w:pPr>
    </w:p>
    <w:p w14:paraId="20DD8781">
      <w:pPr>
        <w:pStyle w:val="2"/>
        <w:rPr>
          <w:rFonts w:hint="default" w:ascii="宋体" w:hAnsi="宋体" w:eastAsia="宋体" w:cs="宋体"/>
          <w:kern w:val="0"/>
          <w:sz w:val="28"/>
          <w:szCs w:val="28"/>
          <w:lang w:val="en-US" w:eastAsia="zh-CN" w:bidi="ar-SA"/>
        </w:rPr>
      </w:pPr>
      <w:r>
        <w:rPr>
          <w:rFonts w:hint="eastAsia" w:ascii="宋体" w:hAnsi="宋体" w:eastAsia="宋体" w:cs="宋体"/>
          <w:kern w:val="0"/>
          <w:sz w:val="28"/>
          <w:szCs w:val="28"/>
          <w:lang w:val="en-US" w:eastAsia="zh-CN" w:bidi="ar-SA"/>
        </w:rPr>
        <w:t>表2 综合评分表</w:t>
      </w:r>
    </w:p>
    <w:tbl>
      <w:tblPr>
        <w:tblStyle w:val="14"/>
        <w:tblW w:w="94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5"/>
        <w:gridCol w:w="3006"/>
        <w:gridCol w:w="5155"/>
      </w:tblGrid>
      <w:tr w14:paraId="054FA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75" w:type="dxa"/>
            <w:noWrap w:val="0"/>
            <w:vAlign w:val="center"/>
          </w:tcPr>
          <w:p w14:paraId="6FD4E6DA">
            <w:pPr>
              <w:keepNext w:val="0"/>
              <w:keepLines w:val="0"/>
              <w:pageBreakBefore w:val="0"/>
              <w:widowControl w:val="0"/>
              <w:wordWrap/>
              <w:topLinePunct w:val="0"/>
              <w:bidi w:val="0"/>
              <w:adjustRightInd w:val="0"/>
              <w:snapToGrid w:val="0"/>
              <w:spacing w:line="360" w:lineRule="exact"/>
              <w:jc w:val="both"/>
              <w:textAlignment w:val="auto"/>
              <w:rPr>
                <w:rFonts w:hint="eastAsia" w:ascii="宋体" w:hAnsi="宋体" w:eastAsia="宋体" w:cs="宋体"/>
                <w:sz w:val="22"/>
                <w:szCs w:val="22"/>
              </w:rPr>
            </w:pPr>
          </w:p>
        </w:tc>
        <w:tc>
          <w:tcPr>
            <w:tcW w:w="3006" w:type="dxa"/>
            <w:noWrap w:val="0"/>
            <w:vAlign w:val="center"/>
          </w:tcPr>
          <w:p w14:paraId="0BAEA55C">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分值构成</w:t>
            </w:r>
          </w:p>
          <w:p w14:paraId="29FE81F2">
            <w:pPr>
              <w:keepNext w:val="0"/>
              <w:keepLines w:val="0"/>
              <w:pageBreakBefore w:val="0"/>
              <w:widowControl w:val="0"/>
              <w:wordWrap/>
              <w:topLinePunct w:val="0"/>
              <w:bidi w:val="0"/>
              <w:adjustRightInd w:val="0"/>
              <w:snapToGrid w:val="0"/>
              <w:spacing w:line="360" w:lineRule="exact"/>
              <w:jc w:val="center"/>
              <w:textAlignment w:val="auto"/>
              <w:rPr>
                <w:rFonts w:hint="eastAsia" w:ascii="宋体" w:hAnsi="宋体" w:eastAsia="宋体" w:cs="宋体"/>
                <w:sz w:val="22"/>
                <w:szCs w:val="22"/>
              </w:rPr>
            </w:pPr>
            <w:r>
              <w:rPr>
                <w:rFonts w:hint="eastAsia" w:ascii="宋体" w:hAnsi="宋体" w:eastAsia="宋体" w:cs="宋体"/>
                <w:sz w:val="22"/>
                <w:szCs w:val="22"/>
              </w:rPr>
              <w:t>(总分100分)</w:t>
            </w:r>
          </w:p>
        </w:tc>
        <w:tc>
          <w:tcPr>
            <w:tcW w:w="5155" w:type="dxa"/>
            <w:noWrap w:val="0"/>
            <w:vAlign w:val="center"/>
          </w:tcPr>
          <w:p w14:paraId="2296AB44">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kern w:val="0"/>
                <w:sz w:val="22"/>
                <w:szCs w:val="22"/>
                <w:lang w:val="en-US" w:eastAsia="zh-CN"/>
              </w:rPr>
              <w:t>1、技术部分</w:t>
            </w:r>
            <w:r>
              <w:rPr>
                <w:rFonts w:hint="eastAsia" w:ascii="宋体" w:hAnsi="宋体" w:eastAsia="宋体" w:cs="宋体"/>
                <w:sz w:val="22"/>
                <w:szCs w:val="22"/>
                <w:lang w:val="en-US" w:eastAsia="zh-CN"/>
              </w:rPr>
              <w:t>：</w:t>
            </w:r>
            <w:r>
              <w:rPr>
                <w:rFonts w:hint="eastAsia" w:ascii="宋体" w:hAnsi="宋体" w:cs="宋体"/>
                <w:sz w:val="22"/>
                <w:szCs w:val="22"/>
                <w:lang w:val="en-US" w:eastAsia="zh-CN"/>
              </w:rPr>
              <w:t>60</w:t>
            </w:r>
            <w:r>
              <w:rPr>
                <w:rFonts w:hint="eastAsia" w:ascii="宋体" w:hAnsi="宋体" w:eastAsia="宋体" w:cs="宋体"/>
                <w:sz w:val="22"/>
                <w:szCs w:val="22"/>
                <w:lang w:val="en-US" w:eastAsia="zh-CN"/>
              </w:rPr>
              <w:t>分</w:t>
            </w:r>
          </w:p>
          <w:p w14:paraId="3823522D">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2、投标报价：</w:t>
            </w:r>
            <w:r>
              <w:rPr>
                <w:rFonts w:hint="eastAsia" w:ascii="宋体" w:hAnsi="宋体" w:cs="宋体"/>
                <w:sz w:val="22"/>
                <w:szCs w:val="22"/>
                <w:lang w:val="en-US" w:eastAsia="zh-CN"/>
              </w:rPr>
              <w:t>2</w:t>
            </w:r>
            <w:r>
              <w:rPr>
                <w:rFonts w:hint="eastAsia" w:ascii="宋体" w:hAnsi="宋体" w:eastAsia="宋体" w:cs="宋体"/>
                <w:sz w:val="22"/>
                <w:szCs w:val="22"/>
                <w:lang w:val="en-US" w:eastAsia="zh-CN"/>
              </w:rPr>
              <w:t>0分</w:t>
            </w:r>
          </w:p>
          <w:p w14:paraId="15DA6379">
            <w:pPr>
              <w:keepNext w:val="0"/>
              <w:keepLines w:val="0"/>
              <w:pageBreakBefore w:val="0"/>
              <w:widowControl w:val="0"/>
              <w:wordWrap/>
              <w:topLinePunct w:val="0"/>
              <w:bidi w:val="0"/>
              <w:adjustRightInd w:val="0"/>
              <w:snapToGrid w:val="0"/>
              <w:spacing w:line="360" w:lineRule="exact"/>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3、商务部分：</w:t>
            </w:r>
            <w:r>
              <w:rPr>
                <w:rFonts w:hint="eastAsia" w:ascii="宋体" w:hAnsi="宋体" w:cs="宋体"/>
                <w:sz w:val="22"/>
                <w:szCs w:val="22"/>
                <w:lang w:val="en-US" w:eastAsia="zh-CN"/>
              </w:rPr>
              <w:t>20</w:t>
            </w:r>
            <w:r>
              <w:rPr>
                <w:rFonts w:hint="eastAsia" w:ascii="宋体" w:hAnsi="宋体" w:eastAsia="宋体" w:cs="宋体"/>
                <w:sz w:val="22"/>
                <w:szCs w:val="22"/>
                <w:lang w:val="en-US" w:eastAsia="zh-CN"/>
              </w:rPr>
              <w:t>分</w:t>
            </w:r>
          </w:p>
        </w:tc>
      </w:tr>
    </w:tbl>
    <w:p w14:paraId="1825A942">
      <w:pPr>
        <w:rPr>
          <w:rFonts w:hint="eastAsia" w:ascii="宋体" w:hAnsi="宋体" w:eastAsia="宋体" w:cs="宋体"/>
        </w:rPr>
      </w:pPr>
    </w:p>
    <w:tbl>
      <w:tblPr>
        <w:tblStyle w:val="14"/>
        <w:tblW w:w="55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928"/>
        <w:gridCol w:w="1089"/>
        <w:gridCol w:w="1613"/>
        <w:gridCol w:w="4665"/>
      </w:tblGrid>
      <w:tr w14:paraId="181A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102" w:type="pct"/>
            <w:gridSpan w:val="2"/>
            <w:noWrap w:val="0"/>
            <w:vAlign w:val="center"/>
          </w:tcPr>
          <w:p w14:paraId="7D159D01">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评分因素</w:t>
            </w:r>
          </w:p>
        </w:tc>
        <w:tc>
          <w:tcPr>
            <w:tcW w:w="576" w:type="pct"/>
            <w:noWrap w:val="0"/>
            <w:vAlign w:val="center"/>
          </w:tcPr>
          <w:p w14:paraId="2C51101B">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p>
        </w:tc>
        <w:tc>
          <w:tcPr>
            <w:tcW w:w="3321" w:type="pct"/>
            <w:gridSpan w:val="2"/>
            <w:noWrap w:val="0"/>
            <w:vAlign w:val="center"/>
          </w:tcPr>
          <w:p w14:paraId="70806C70">
            <w:pPr>
              <w:pStyle w:val="9"/>
              <w:keepNext w:val="0"/>
              <w:keepLines w:val="0"/>
              <w:pageBreakBefore w:val="0"/>
              <w:kinsoku/>
              <w:wordWrap/>
              <w:topLinePunct w:val="0"/>
              <w:bidi w:val="0"/>
              <w:snapToGrid w:val="0"/>
              <w:spacing w:line="240" w:lineRule="auto"/>
              <w:jc w:val="center"/>
              <w:rPr>
                <w:rFonts w:hint="eastAsia" w:ascii="宋体" w:hAnsi="宋体" w:eastAsia="宋体" w:cs="宋体"/>
                <w:b/>
                <w:sz w:val="24"/>
                <w:szCs w:val="24"/>
              </w:rPr>
            </w:pPr>
            <w:r>
              <w:rPr>
                <w:rFonts w:hint="eastAsia" w:ascii="宋体" w:hAnsi="宋体" w:eastAsia="宋体" w:cs="宋体"/>
                <w:b/>
                <w:sz w:val="24"/>
                <w:szCs w:val="24"/>
              </w:rPr>
              <w:t>评分标准</w:t>
            </w:r>
          </w:p>
        </w:tc>
      </w:tr>
      <w:tr w14:paraId="288B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restart"/>
            <w:noWrap w:val="0"/>
            <w:vAlign w:val="center"/>
          </w:tcPr>
          <w:p w14:paraId="5F23188B">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b/>
                <w:sz w:val="24"/>
                <w:szCs w:val="24"/>
                <w:lang w:val="en-US" w:eastAsia="zh-CN"/>
              </w:rPr>
            </w:pPr>
            <w:r>
              <w:rPr>
                <w:rFonts w:hint="eastAsia" w:ascii="宋体" w:hAnsi="宋体" w:cs="宋体"/>
                <w:b/>
                <w:sz w:val="24"/>
                <w:szCs w:val="24"/>
                <w:lang w:val="en-US" w:eastAsia="zh-CN"/>
              </w:rPr>
              <w:t>技术部分</w:t>
            </w:r>
          </w:p>
        </w:tc>
        <w:tc>
          <w:tcPr>
            <w:tcW w:w="490" w:type="pct"/>
            <w:vMerge w:val="restart"/>
            <w:noWrap w:val="0"/>
            <w:vAlign w:val="center"/>
          </w:tcPr>
          <w:p w14:paraId="1093A81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val="en-US" w:eastAsia="zh-CN"/>
              </w:rPr>
              <w:t>0分）</w:t>
            </w:r>
          </w:p>
          <w:p w14:paraId="52105CE6">
            <w:pPr>
              <w:keepNext w:val="0"/>
              <w:keepLines w:val="0"/>
              <w:pageBreakBefore w:val="0"/>
              <w:tabs>
                <w:tab w:val="left" w:pos="342"/>
              </w:tabs>
              <w:kinsoku/>
              <w:wordWrap/>
              <w:topLinePunct w:val="0"/>
              <w:bidi w:val="0"/>
              <w:spacing w:line="240" w:lineRule="auto"/>
              <w:jc w:val="left"/>
              <w:rPr>
                <w:rFonts w:hint="eastAsia" w:ascii="宋体" w:hAnsi="宋体" w:eastAsia="宋体" w:cs="宋体"/>
                <w:b/>
                <w:sz w:val="24"/>
                <w:szCs w:val="24"/>
                <w:lang w:val="en-US" w:eastAsia="zh-CN"/>
              </w:rPr>
            </w:pPr>
          </w:p>
        </w:tc>
        <w:tc>
          <w:tcPr>
            <w:tcW w:w="576" w:type="pct"/>
            <w:vMerge w:val="restart"/>
            <w:noWrap w:val="0"/>
            <w:vAlign w:val="center"/>
          </w:tcPr>
          <w:p w14:paraId="0D358A0F">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346BF0C0">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0"/>
                <w:szCs w:val="20"/>
              </w:rPr>
            </w:pPr>
            <w:r>
              <w:rPr>
                <w:rFonts w:hint="eastAsia" w:ascii="宋体" w:hAnsi="宋体" w:eastAsia="宋体" w:cs="宋体"/>
                <w:color w:val="000000"/>
                <w:sz w:val="20"/>
                <w:szCs w:val="20"/>
              </w:rPr>
              <w:t>内容完整性和编制水平</w:t>
            </w:r>
          </w:p>
          <w:p w14:paraId="069EAC88">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w:t>
            </w:r>
            <w:r>
              <w:rPr>
                <w:rFonts w:hint="eastAsia" w:ascii="宋体" w:hAnsi="宋体" w:eastAsia="宋体" w:cs="宋体"/>
                <w:color w:val="000000"/>
                <w:sz w:val="20"/>
                <w:szCs w:val="20"/>
                <w:lang w:val="en-US" w:eastAsia="zh-CN"/>
              </w:rPr>
              <w:t>10</w:t>
            </w:r>
            <w:r>
              <w:rPr>
                <w:rFonts w:hint="eastAsia" w:ascii="宋体" w:hAnsi="宋体" w:eastAsia="宋体" w:cs="宋体"/>
                <w:color w:val="000000"/>
                <w:sz w:val="20"/>
                <w:szCs w:val="20"/>
              </w:rPr>
              <w:t>分）</w:t>
            </w:r>
          </w:p>
        </w:tc>
        <w:tc>
          <w:tcPr>
            <w:tcW w:w="2467" w:type="pct"/>
            <w:noWrap w:val="0"/>
            <w:vAlign w:val="center"/>
          </w:tcPr>
          <w:p w14:paraId="0A75D3C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针对本项目对施工组织部分进行编制。提供方案者即得基础分7分。 额外加分标准： 1.投标文件的内容完整、科学有效性、有针对性及编制水平高，全部技术参数都满足，得3分。 2.投标文件的内容完整性较好，科学有效性、有针对性，编制水平较好，技术参数大部分满足，得2分。 3.投标文件的内容不完整，科学有效性、有针对性体现较一般，编制水平较一般，技术参数小部分满足，得1分。 4.未提供不得分。</w:t>
            </w:r>
          </w:p>
        </w:tc>
      </w:tr>
      <w:tr w14:paraId="3AC56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atLeast"/>
        </w:trPr>
        <w:tc>
          <w:tcPr>
            <w:tcW w:w="611" w:type="pct"/>
            <w:vMerge w:val="continue"/>
            <w:noWrap w:val="0"/>
            <w:vAlign w:val="center"/>
          </w:tcPr>
          <w:p w14:paraId="6412FB91">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490" w:type="pct"/>
            <w:vMerge w:val="continue"/>
            <w:noWrap w:val="0"/>
            <w:vAlign w:val="center"/>
          </w:tcPr>
          <w:p w14:paraId="344D606C">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576" w:type="pct"/>
            <w:vMerge w:val="continue"/>
            <w:noWrap w:val="0"/>
            <w:vAlign w:val="center"/>
          </w:tcPr>
          <w:p w14:paraId="0A2B4E28">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sz w:val="24"/>
                <w:szCs w:val="24"/>
              </w:rPr>
            </w:pPr>
          </w:p>
        </w:tc>
        <w:tc>
          <w:tcPr>
            <w:tcW w:w="853" w:type="pct"/>
            <w:noWrap w:val="0"/>
            <w:vAlign w:val="center"/>
          </w:tcPr>
          <w:p w14:paraId="0A5EB3FF">
            <w:pPr>
              <w:pStyle w:val="30"/>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施工方案与技术措施（</w:t>
            </w:r>
            <w:r>
              <w:rPr>
                <w:rFonts w:hint="eastAsia" w:ascii="宋体" w:hAnsi="宋体" w:eastAsia="宋体" w:cs="宋体"/>
                <w:color w:val="000000"/>
                <w:sz w:val="20"/>
                <w:szCs w:val="20"/>
                <w:lang w:val="en-US" w:eastAsia="zh-CN"/>
              </w:rPr>
              <w:t>12</w:t>
            </w:r>
            <w:r>
              <w:rPr>
                <w:rFonts w:hint="eastAsia" w:ascii="宋体" w:hAnsi="宋体" w:eastAsia="宋体" w:cs="宋体"/>
                <w:color w:val="000000"/>
                <w:sz w:val="20"/>
                <w:szCs w:val="20"/>
              </w:rPr>
              <w:t>分）</w:t>
            </w:r>
          </w:p>
        </w:tc>
        <w:tc>
          <w:tcPr>
            <w:tcW w:w="2467" w:type="pct"/>
            <w:noWrap w:val="0"/>
            <w:vAlign w:val="center"/>
          </w:tcPr>
          <w:p w14:paraId="13AB1D9F">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针对项目施工方案与技术措施编制方案，包含施⼯准备及进度安排、各分部分项⼯程主要施⼯技术⽅法、关键点控制措施、材料供应保障措施、成品保护措施等。提供方案即得基础分9分。额外加分标准： 1.施工方案合理，技术措施对工程质量、工期和施工安全保障的有针对性，得3分。 2.施工方案较合理，技术措施对工程质量、工期和施工安全的保障针对性较强的，得2分； 3.施工方案一般，技术措施对工程质量、工期和施工安全的保障针对性一般的得1分。 4.未提供不得分。</w:t>
            </w:r>
          </w:p>
        </w:tc>
      </w:tr>
      <w:tr w14:paraId="13DE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74C9E13D">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24573A35">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6AC227E2">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0501D3F2">
            <w:pPr>
              <w:spacing w:line="360" w:lineRule="auto"/>
              <w:jc w:val="center"/>
              <w:rPr>
                <w:rFonts w:hint="eastAsia" w:ascii="宋体" w:hAnsi="宋体" w:eastAsia="宋体" w:cs="宋体"/>
                <w:kern w:val="0"/>
                <w:sz w:val="20"/>
                <w:szCs w:val="20"/>
                <w:lang w:val="en-US" w:eastAsia="zh-CN" w:bidi="ar-SA"/>
              </w:rPr>
            </w:pPr>
            <w:r>
              <w:rPr>
                <w:rFonts w:hint="eastAsia" w:ascii="宋体" w:hAnsi="宋体" w:eastAsia="宋体" w:cs="宋体"/>
                <w:kern w:val="0"/>
                <w:sz w:val="20"/>
                <w:szCs w:val="20"/>
              </w:rPr>
              <w:t>施工安全</w:t>
            </w:r>
            <w:r>
              <w:rPr>
                <w:rFonts w:hint="eastAsia" w:ascii="宋体" w:hAnsi="宋体" w:eastAsia="宋体" w:cs="宋体"/>
                <w:kern w:val="0"/>
                <w:sz w:val="20"/>
                <w:szCs w:val="20"/>
                <w:lang w:eastAsia="zh-CN"/>
              </w:rPr>
              <w:t>文明</w:t>
            </w:r>
            <w:r>
              <w:rPr>
                <w:rFonts w:hint="eastAsia" w:ascii="宋体" w:hAnsi="宋体" w:eastAsia="宋体" w:cs="宋体"/>
                <w:kern w:val="0"/>
                <w:sz w:val="20"/>
                <w:szCs w:val="20"/>
              </w:rPr>
              <w:t>措施计划(</w:t>
            </w:r>
            <w:r>
              <w:rPr>
                <w:rFonts w:hint="eastAsia" w:ascii="宋体" w:hAnsi="宋体" w:eastAsia="宋体" w:cs="宋体"/>
                <w:kern w:val="0"/>
                <w:sz w:val="20"/>
                <w:szCs w:val="20"/>
                <w:lang w:val="en-US" w:eastAsia="zh-CN"/>
              </w:rPr>
              <w:t>7</w:t>
            </w:r>
            <w:r>
              <w:rPr>
                <w:rFonts w:hint="eastAsia" w:ascii="宋体" w:hAnsi="宋体" w:eastAsia="宋体" w:cs="宋体"/>
                <w:kern w:val="0"/>
                <w:sz w:val="20"/>
                <w:szCs w:val="20"/>
              </w:rPr>
              <w:t>分)</w:t>
            </w:r>
          </w:p>
        </w:tc>
        <w:tc>
          <w:tcPr>
            <w:tcW w:w="2467" w:type="pct"/>
            <w:noWrap w:val="0"/>
            <w:vAlign w:val="center"/>
          </w:tcPr>
          <w:p w14:paraId="1302634D">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施工安全文明措施编制计划方案。要求安全体系设置合理、安全⽣产责任到⼈职责分明、⽂明施⼯落实到位、安全隐患预控有前瞻性、保障措施完善可⾏、有针对性的减少噪⾳、建筑垃圾清理彻底性、建筑垃圾运输时效性有详细措施。提供方案者即得基础分4分。额外加分标准： 1.措施完善可行，安全及保卫工作有针对性得3分。 2.措施较完善，安全及保卫工作较有针对性得 2分。 3.措施不完善，安全及保卫工作针对性一般的得 1分。 4.未提供不得分。</w:t>
            </w:r>
          </w:p>
        </w:tc>
      </w:tr>
      <w:tr w14:paraId="3CBD5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7895EAFC">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40FF2FEB">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483FC8F7">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5E6436EB">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质量、环境管理体系与措施（</w:t>
            </w:r>
            <w:r>
              <w:rPr>
                <w:rFonts w:hint="eastAsia" w:ascii="宋体" w:hAnsi="宋体" w:eastAsia="宋体" w:cs="宋体"/>
                <w:color w:val="000000"/>
                <w:sz w:val="20"/>
                <w:szCs w:val="20"/>
                <w:lang w:val="en-US" w:eastAsia="zh-CN"/>
              </w:rPr>
              <w:t>5</w:t>
            </w:r>
            <w:r>
              <w:rPr>
                <w:rFonts w:hint="eastAsia" w:ascii="宋体" w:hAnsi="宋体" w:eastAsia="宋体" w:cs="宋体"/>
                <w:color w:val="000000"/>
                <w:sz w:val="20"/>
                <w:szCs w:val="20"/>
              </w:rPr>
              <w:t>分）</w:t>
            </w:r>
          </w:p>
        </w:tc>
        <w:tc>
          <w:tcPr>
            <w:tcW w:w="2467" w:type="pct"/>
            <w:noWrap w:val="0"/>
            <w:vAlign w:val="center"/>
          </w:tcPr>
          <w:p w14:paraId="1926035E">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投标人针对项目提供提供质量、环境管理体系与措施方案，包含质量保证体系、质量责任制度、质量检验制度、职⼯教育制度、保修制度有具体对应措施等。提供方案即得基础分3.5分。额外加分标准： 1.质量管理体系与措施的合理、有效、有针对性，得1.5分。 2.质量管理体系与措施较合理、可靠、较有效的，得1分； 3.质量管理体系与措施较一般、可靠性有效性一般的得0.5分。 4.未提供，不得分。</w:t>
            </w:r>
          </w:p>
        </w:tc>
      </w:tr>
      <w:tr w14:paraId="1091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14848FD9">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490" w:type="pct"/>
            <w:vMerge w:val="continue"/>
            <w:noWrap w:val="0"/>
            <w:vAlign w:val="center"/>
          </w:tcPr>
          <w:p w14:paraId="7E6502BF">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576" w:type="pct"/>
            <w:vMerge w:val="continue"/>
            <w:noWrap w:val="0"/>
            <w:vAlign w:val="center"/>
          </w:tcPr>
          <w:p w14:paraId="08AF96A9">
            <w:pPr>
              <w:keepNext w:val="0"/>
              <w:keepLines w:val="0"/>
              <w:pageBreakBefore w:val="0"/>
              <w:kinsoku/>
              <w:wordWrap/>
              <w:topLinePunct w:val="0"/>
              <w:autoSpaceDE w:val="0"/>
              <w:autoSpaceDN w:val="0"/>
              <w:bidi w:val="0"/>
              <w:adjustRightInd w:val="0"/>
              <w:snapToGrid w:val="0"/>
              <w:spacing w:line="240" w:lineRule="auto"/>
              <w:rPr>
                <w:rFonts w:hint="eastAsia" w:ascii="宋体" w:hAnsi="宋体" w:eastAsia="宋体" w:cs="宋体"/>
                <w:kern w:val="0"/>
                <w:sz w:val="24"/>
                <w:szCs w:val="24"/>
                <w:lang w:val="en-US" w:eastAsia="zh-CN"/>
              </w:rPr>
            </w:pPr>
          </w:p>
        </w:tc>
        <w:tc>
          <w:tcPr>
            <w:tcW w:w="853" w:type="pct"/>
            <w:noWrap w:val="0"/>
            <w:vAlign w:val="center"/>
          </w:tcPr>
          <w:p w14:paraId="19809A52">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Style w:val="31"/>
                <w:rFonts w:hint="eastAsia" w:ascii="宋体" w:hAnsi="宋体" w:eastAsia="宋体" w:cs="宋体"/>
                <w:color w:val="000000"/>
                <w:kern w:val="2"/>
                <w:sz w:val="20"/>
                <w:szCs w:val="20"/>
                <w:lang w:val="en-US" w:eastAsia="zh-CN" w:bidi="ar-SA"/>
              </w:rPr>
            </w:pPr>
            <w:r>
              <w:rPr>
                <w:rFonts w:hint="eastAsia" w:ascii="宋体" w:hAnsi="宋体" w:eastAsia="宋体" w:cs="宋体"/>
                <w:color w:val="000000"/>
                <w:sz w:val="20"/>
                <w:szCs w:val="20"/>
              </w:rPr>
              <w:t>工程进度计划与措施（</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499C45DF">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lang w:val="en-US" w:eastAsia="zh-CN"/>
              </w:rPr>
              <w:t>投标人针对项目提供工程进度计划与措施方案。提供方案者即得基础分4.5分。额外加分标准： 1.工程进度计划与措施合理、可靠、有效，得1.5分。 2.工程进度计划与控制工期的保证措施较合理、较可靠、较有效的，得1分; 3.工程进度计划与控制，工期的保证措施一般、可靠性有效性一般的，得0.5分。 4.未提供不得分。</w:t>
            </w:r>
          </w:p>
        </w:tc>
      </w:tr>
      <w:tr w14:paraId="49932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11" w:type="pct"/>
            <w:vMerge w:val="continue"/>
            <w:noWrap w:val="0"/>
            <w:vAlign w:val="center"/>
          </w:tcPr>
          <w:p w14:paraId="041292DA">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5E05071D">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5BC99B63">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26E1DF4D">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关键施工技术重点、难点和解决方案</w:t>
            </w:r>
          </w:p>
          <w:p w14:paraId="671D9A48">
            <w:pPr>
              <w:autoSpaceDE w:val="0"/>
              <w:autoSpaceDN w:val="0"/>
              <w:adjustRightInd w:val="0"/>
              <w:spacing w:line="360" w:lineRule="auto"/>
              <w:jc w:val="left"/>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10</w:t>
            </w:r>
            <w:r>
              <w:rPr>
                <w:rFonts w:hint="eastAsia" w:ascii="宋体" w:hAnsi="宋体" w:eastAsia="宋体" w:cs="宋体"/>
                <w:kern w:val="0"/>
                <w:sz w:val="20"/>
                <w:szCs w:val="20"/>
              </w:rPr>
              <w:t>分）</w:t>
            </w:r>
          </w:p>
        </w:tc>
        <w:tc>
          <w:tcPr>
            <w:tcW w:w="2467" w:type="pct"/>
            <w:noWrap w:val="0"/>
            <w:vAlign w:val="center"/>
          </w:tcPr>
          <w:p w14:paraId="01050960">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投标人针对项目提供关键施工技术重点、难点、质量通病和解决方案。提供方案即得基础分7分。额外加分标准： 1.关键施工技术、工艺及工程项目实施的重点、难点提供有效解决方案，得3分。 2.关键施工技术、工艺及工程项目实施的重点、难点提供较有效解决方案，得2分。 3.关键施工技术、工艺及工程项目实施的重点、难点提供较一般的解决方案，得1分。 4.未提供不得分。</w:t>
            </w:r>
          </w:p>
        </w:tc>
      </w:tr>
      <w:tr w14:paraId="12367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6F348579">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1E2F82C5">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6A95C3B5">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1C5BBF61">
            <w:pPr>
              <w:autoSpaceDE w:val="0"/>
              <w:autoSpaceDN w:val="0"/>
              <w:adjustRightInd w:val="0"/>
              <w:spacing w:line="360" w:lineRule="auto"/>
              <w:jc w:val="left"/>
              <w:rPr>
                <w:rFonts w:hint="eastAsia" w:ascii="宋体" w:hAnsi="宋体" w:eastAsia="宋体" w:cs="宋体"/>
                <w:kern w:val="0"/>
                <w:sz w:val="20"/>
                <w:szCs w:val="20"/>
                <w:lang w:val="en-US" w:eastAsia="zh-CN"/>
              </w:rPr>
            </w:pPr>
            <w:r>
              <w:rPr>
                <w:rFonts w:hint="eastAsia" w:ascii="宋体" w:hAnsi="宋体" w:eastAsia="宋体" w:cs="宋体"/>
                <w:kern w:val="0"/>
                <w:sz w:val="20"/>
                <w:szCs w:val="20"/>
              </w:rPr>
              <w:t>应急预案以及应对措施（</w:t>
            </w:r>
            <w:r>
              <w:rPr>
                <w:rFonts w:hint="eastAsia" w:ascii="宋体" w:hAnsi="宋体" w:eastAsia="宋体" w:cs="宋体"/>
                <w:kern w:val="0"/>
                <w:sz w:val="20"/>
                <w:szCs w:val="20"/>
                <w:lang w:val="en-US" w:eastAsia="zh-CN"/>
              </w:rPr>
              <w:t>4</w:t>
            </w:r>
            <w:r>
              <w:rPr>
                <w:rFonts w:hint="eastAsia" w:ascii="宋体" w:hAnsi="宋体" w:eastAsia="宋体" w:cs="宋体"/>
                <w:kern w:val="0"/>
                <w:sz w:val="20"/>
                <w:szCs w:val="20"/>
              </w:rPr>
              <w:t>分）</w:t>
            </w:r>
          </w:p>
        </w:tc>
        <w:tc>
          <w:tcPr>
            <w:tcW w:w="2467" w:type="pct"/>
            <w:noWrap w:val="0"/>
            <w:vAlign w:val="center"/>
          </w:tcPr>
          <w:p w14:paraId="06EAE97A">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投标人针对项目提供应急预案以及应对措施方案，包含突发事件应对快捷性、保障措施全⾯完善且有明确方案。提供方案即得基础分2分。额外加分标准： 1.针对工程施工过程中可能遇到的各种风险的预案以及应对措施合理、切实可行得2分。 2.针对工程施工过程中可能遇到的各种风险的预案以及应对措施较合理可行得1.5分。 3.针对工程施工过程中可能遇到的各种风险的预案以及应对措施合理可行性较一般得1分。 4.未提供不得分。</w:t>
            </w:r>
          </w:p>
        </w:tc>
      </w:tr>
      <w:tr w14:paraId="5EA1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trPr>
        <w:tc>
          <w:tcPr>
            <w:tcW w:w="611" w:type="pct"/>
            <w:vMerge w:val="continue"/>
            <w:noWrap w:val="0"/>
            <w:vAlign w:val="center"/>
          </w:tcPr>
          <w:p w14:paraId="07404CAC">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lang w:val="en-US" w:eastAsia="zh-CN"/>
              </w:rPr>
            </w:pPr>
          </w:p>
        </w:tc>
        <w:tc>
          <w:tcPr>
            <w:tcW w:w="490" w:type="pct"/>
            <w:vMerge w:val="continue"/>
            <w:noWrap w:val="0"/>
            <w:vAlign w:val="center"/>
          </w:tcPr>
          <w:p w14:paraId="46167325">
            <w:pPr>
              <w:keepNext w:val="0"/>
              <w:keepLines w:val="0"/>
              <w:pageBreakBefore w:val="0"/>
              <w:kinsoku/>
              <w:wordWrap/>
              <w:topLinePunct w:val="0"/>
              <w:bidi w:val="0"/>
              <w:spacing w:line="240" w:lineRule="auto"/>
              <w:jc w:val="center"/>
              <w:rPr>
                <w:rFonts w:hint="eastAsia" w:ascii="宋体" w:hAnsi="宋体" w:eastAsia="宋体" w:cs="宋体"/>
                <w:kern w:val="0"/>
                <w:sz w:val="24"/>
                <w:szCs w:val="24"/>
              </w:rPr>
            </w:pPr>
          </w:p>
        </w:tc>
        <w:tc>
          <w:tcPr>
            <w:tcW w:w="576" w:type="pct"/>
            <w:vMerge w:val="continue"/>
            <w:noWrap w:val="0"/>
            <w:vAlign w:val="center"/>
          </w:tcPr>
          <w:p w14:paraId="12038126">
            <w:pPr>
              <w:keepNext w:val="0"/>
              <w:keepLines w:val="0"/>
              <w:pageBreakBefore w:val="0"/>
              <w:kinsoku/>
              <w:wordWrap/>
              <w:topLinePunct w:val="0"/>
              <w:autoSpaceDE w:val="0"/>
              <w:autoSpaceDN w:val="0"/>
              <w:bidi w:val="0"/>
              <w:adjustRightInd w:val="0"/>
              <w:snapToGrid w:val="0"/>
              <w:spacing w:line="240" w:lineRule="auto"/>
              <w:jc w:val="center"/>
              <w:rPr>
                <w:rFonts w:hint="eastAsia" w:ascii="宋体" w:hAnsi="宋体" w:eastAsia="宋体" w:cs="宋体"/>
                <w:kern w:val="0"/>
                <w:sz w:val="24"/>
                <w:szCs w:val="24"/>
              </w:rPr>
            </w:pPr>
          </w:p>
        </w:tc>
        <w:tc>
          <w:tcPr>
            <w:tcW w:w="853" w:type="pct"/>
            <w:noWrap w:val="0"/>
            <w:vAlign w:val="center"/>
          </w:tcPr>
          <w:p w14:paraId="74D7202F">
            <w:pPr>
              <w:pStyle w:val="32"/>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0"/>
                <w:szCs w:val="20"/>
              </w:rPr>
            </w:pPr>
            <w:r>
              <w:rPr>
                <w:rFonts w:hint="eastAsia" w:ascii="宋体" w:hAnsi="宋体" w:eastAsia="宋体" w:cs="宋体"/>
                <w:color w:val="000000"/>
                <w:sz w:val="20"/>
                <w:szCs w:val="20"/>
              </w:rPr>
              <w:t>资源配备计划（</w:t>
            </w:r>
            <w:r>
              <w:rPr>
                <w:rFonts w:hint="eastAsia" w:ascii="宋体" w:hAnsi="宋体" w:eastAsia="宋体" w:cs="宋体"/>
                <w:color w:val="000000"/>
                <w:sz w:val="20"/>
                <w:szCs w:val="20"/>
                <w:lang w:val="en-US" w:eastAsia="zh-CN"/>
              </w:rPr>
              <w:t>6</w:t>
            </w:r>
            <w:r>
              <w:rPr>
                <w:rFonts w:hint="eastAsia" w:ascii="宋体" w:hAnsi="宋体" w:eastAsia="宋体" w:cs="宋体"/>
                <w:color w:val="000000"/>
                <w:sz w:val="20"/>
                <w:szCs w:val="20"/>
              </w:rPr>
              <w:t>分）</w:t>
            </w:r>
          </w:p>
        </w:tc>
        <w:tc>
          <w:tcPr>
            <w:tcW w:w="2467" w:type="pct"/>
            <w:noWrap w:val="0"/>
            <w:vAlign w:val="center"/>
          </w:tcPr>
          <w:p w14:paraId="6F740961">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sz w:val="20"/>
                <w:szCs w:val="20"/>
                <w:lang w:val="en-US" w:eastAsia="zh-CN"/>
              </w:rPr>
            </w:pPr>
            <w:r>
              <w:rPr>
                <w:rFonts w:hint="eastAsia" w:ascii="宋体" w:hAnsi="宋体" w:eastAsia="宋体" w:cs="宋体"/>
                <w:color w:val="000000"/>
                <w:sz w:val="20"/>
                <w:szCs w:val="20"/>
                <w:highlight w:val="none"/>
                <w:lang w:val="en-US" w:eastAsia="zh-CN"/>
              </w:rPr>
              <w:t>投标人针对项目提供资源配备计划方案，包含对投入的劳动力人数合理性、专业搭配齐全程度、从业证件齐全（如焊接作业⼈员应有焊接作业证）、各施⼯⼈员职责划分清晰、人员分⼯明确、劳动力安排中充分考虑医院环境因素（如控制噪⾳、保障就诊来往人员安全等）、具备应对突发情况（如天⽓变化、⼯期调整）的⼈员调配⽅案有具体相应措施。提供方案即得基础分4分。额外加分标准： 1.投入的劳动力与施工设备数量、种类的全面、合理、有效，得2分。 2.投入的劳动力与施工设备数量、种类较全面、较合理，得1.5分。 3.投入的劳动力与施工设备数量、种类的一般合理，得1分。 4.未提供不得分。</w:t>
            </w:r>
          </w:p>
        </w:tc>
      </w:tr>
      <w:tr w14:paraId="3E063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611" w:type="pct"/>
            <w:vMerge w:val="restart"/>
            <w:noWrap w:val="0"/>
            <w:vAlign w:val="center"/>
          </w:tcPr>
          <w:p w14:paraId="31522C03">
            <w:pPr>
              <w:pStyle w:val="6"/>
              <w:keepNext w:val="0"/>
              <w:keepLines w:val="0"/>
              <w:pageBreakBefore w:val="0"/>
              <w:kinsoku/>
              <w:wordWrap/>
              <w:topLinePunct w:val="0"/>
              <w:bidi w:val="0"/>
              <w:spacing w:line="240" w:lineRule="auto"/>
              <w:ind w:firstLine="0"/>
              <w:jc w:val="both"/>
              <w:rPr>
                <w:rFonts w:hint="eastAsia" w:ascii="宋体" w:hAnsi="宋体" w:eastAsia="宋体" w:cs="宋体"/>
                <w:sz w:val="24"/>
                <w:szCs w:val="24"/>
                <w:lang w:val="en-US" w:eastAsia="zh-CN"/>
              </w:rPr>
            </w:pPr>
            <w:r>
              <w:rPr>
                <w:rFonts w:hint="eastAsia" w:ascii="宋体" w:hAnsi="宋体" w:eastAsia="宋体" w:cs="宋体"/>
                <w:b/>
                <w:sz w:val="24"/>
                <w:szCs w:val="24"/>
                <w:highlight w:val="none"/>
                <w:lang w:eastAsia="zh-CN"/>
              </w:rPr>
              <w:t>商务部分</w:t>
            </w:r>
          </w:p>
        </w:tc>
        <w:tc>
          <w:tcPr>
            <w:tcW w:w="490" w:type="pct"/>
            <w:vMerge w:val="restart"/>
            <w:noWrap w:val="0"/>
            <w:vAlign w:val="center"/>
          </w:tcPr>
          <w:p w14:paraId="64338CFE">
            <w:pPr>
              <w:pStyle w:val="6"/>
              <w:keepNext w:val="0"/>
              <w:keepLines w:val="0"/>
              <w:pageBreakBefore w:val="0"/>
              <w:kinsoku/>
              <w:wordWrap/>
              <w:topLinePunct w:val="0"/>
              <w:bidi w:val="0"/>
              <w:spacing w:line="240" w:lineRule="auto"/>
              <w:ind w:firstLine="0"/>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20分</w:t>
            </w:r>
          </w:p>
        </w:tc>
        <w:tc>
          <w:tcPr>
            <w:tcW w:w="576" w:type="pct"/>
            <w:noWrap w:val="0"/>
            <w:vAlign w:val="center"/>
          </w:tcPr>
          <w:p w14:paraId="4694C079">
            <w:pPr>
              <w:keepNext w:val="0"/>
              <w:keepLines w:val="0"/>
              <w:pageBreakBefore w:val="0"/>
              <w:kinsoku/>
              <w:wordWrap/>
              <w:topLinePunct w:val="0"/>
              <w:bidi w:val="0"/>
              <w:spacing w:line="240" w:lineRule="auto"/>
              <w:jc w:val="center"/>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响应供应商业绩（</w:t>
            </w:r>
            <w:r>
              <w:rPr>
                <w:rFonts w:hint="eastAsia" w:ascii="宋体" w:hAnsi="宋体" w:cs="宋体"/>
                <w:color w:val="000000"/>
                <w:kern w:val="2"/>
                <w:sz w:val="20"/>
                <w:szCs w:val="20"/>
                <w:highlight w:val="none"/>
                <w:lang w:val="en-US" w:eastAsia="zh-CN" w:bidi="ar-SA"/>
              </w:rPr>
              <w:t>10</w:t>
            </w:r>
            <w:r>
              <w:rPr>
                <w:rFonts w:hint="eastAsia" w:ascii="宋体" w:hAnsi="宋体" w:eastAsia="宋体" w:cs="宋体"/>
                <w:color w:val="000000"/>
                <w:kern w:val="2"/>
                <w:sz w:val="20"/>
                <w:szCs w:val="20"/>
                <w:highlight w:val="none"/>
                <w:lang w:val="en-US" w:eastAsia="zh-CN" w:bidi="ar-SA"/>
              </w:rPr>
              <w:t>分）</w:t>
            </w:r>
          </w:p>
        </w:tc>
        <w:tc>
          <w:tcPr>
            <w:tcW w:w="3321" w:type="pct"/>
            <w:gridSpan w:val="2"/>
            <w:noWrap w:val="0"/>
            <w:vAlign w:val="center"/>
          </w:tcPr>
          <w:p w14:paraId="11FBB13A">
            <w:pPr>
              <w:pStyle w:val="32"/>
              <w:keepNext w:val="0"/>
              <w:keepLines w:val="0"/>
              <w:pageBreakBefore w:val="0"/>
              <w:widowControl/>
              <w:kinsoku/>
              <w:wordWrap/>
              <w:overflowPunct/>
              <w:topLinePunct w:val="0"/>
              <w:autoSpaceDE/>
              <w:autoSpaceDN/>
              <w:bidi w:val="0"/>
              <w:snapToGrid w:val="0"/>
              <w:spacing w:line="240" w:lineRule="auto"/>
              <w:textAlignment w:val="auto"/>
              <w:rPr>
                <w:rFonts w:hint="eastAsia" w:ascii="宋体" w:hAnsi="宋体" w:eastAsia="宋体" w:cs="宋体"/>
                <w:color w:val="000000"/>
                <w:kern w:val="2"/>
                <w:sz w:val="20"/>
                <w:szCs w:val="20"/>
                <w:highlight w:val="none"/>
                <w:lang w:val="en-US" w:eastAsia="zh-CN" w:bidi="ar-SA"/>
              </w:rPr>
            </w:pPr>
            <w:r>
              <w:rPr>
                <w:rFonts w:hint="eastAsia" w:ascii="宋体" w:hAnsi="宋体" w:eastAsia="宋体" w:cs="宋体"/>
                <w:color w:val="000000"/>
                <w:kern w:val="2"/>
                <w:sz w:val="20"/>
                <w:szCs w:val="20"/>
                <w:highlight w:val="none"/>
                <w:lang w:val="en-US" w:eastAsia="zh-CN" w:bidi="ar-SA"/>
              </w:rPr>
              <w:t>投标人提供2023年9月1日至今（业绩时间认定以合同签订时间为准）已完成或在建的类似施工业绩，每提供一项得5分，最高得10分。 （中标通知书及施工合同缺一不可，否则不予计分）</w:t>
            </w:r>
          </w:p>
        </w:tc>
      </w:tr>
      <w:tr w14:paraId="3E66D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trPr>
        <w:tc>
          <w:tcPr>
            <w:tcW w:w="611" w:type="pct"/>
            <w:vMerge w:val="continue"/>
            <w:noWrap w:val="0"/>
            <w:vAlign w:val="center"/>
          </w:tcPr>
          <w:p w14:paraId="1403FD3A">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2F6D660E">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restart"/>
            <w:noWrap w:val="0"/>
            <w:vAlign w:val="center"/>
          </w:tcPr>
          <w:p w14:paraId="0C5A661F">
            <w:pPr>
              <w:keepNext w:val="0"/>
              <w:keepLines w:val="0"/>
              <w:pageBreakBefore w:val="0"/>
              <w:kinsoku/>
              <w:wordWrap/>
              <w:topLinePunct w:val="0"/>
              <w:bidi w:val="0"/>
              <w:spacing w:line="240" w:lineRule="auto"/>
              <w:jc w:val="center"/>
              <w:rPr>
                <w:rFonts w:hint="eastAsia" w:ascii="宋体" w:hAnsi="宋体" w:eastAsia="宋体" w:cs="宋体"/>
                <w:kern w:val="0"/>
                <w:sz w:val="20"/>
                <w:szCs w:val="20"/>
                <w:lang w:val="en-US" w:eastAsia="zh-CN"/>
              </w:rPr>
            </w:pPr>
            <w:r>
              <w:rPr>
                <w:rFonts w:hint="eastAsia" w:ascii="宋体" w:hAnsi="宋体" w:eastAsia="宋体" w:cs="宋体"/>
                <w:kern w:val="0"/>
                <w:sz w:val="20"/>
                <w:szCs w:val="20"/>
                <w:lang w:val="en-US" w:eastAsia="zh-CN"/>
              </w:rPr>
              <w:t>人员配置</w:t>
            </w:r>
          </w:p>
          <w:p w14:paraId="0E5249B9">
            <w:pPr>
              <w:spacing w:line="360" w:lineRule="auto"/>
              <w:jc w:val="center"/>
              <w:rPr>
                <w:rFonts w:hint="eastAsia" w:ascii="宋体" w:hAnsi="宋体" w:eastAsia="宋体" w:cs="宋体"/>
                <w:kern w:val="0"/>
                <w:sz w:val="20"/>
                <w:szCs w:val="20"/>
              </w:rPr>
            </w:pPr>
            <w:r>
              <w:rPr>
                <w:rFonts w:hint="eastAsia" w:ascii="宋体" w:hAnsi="宋体" w:eastAsia="宋体" w:cs="宋体"/>
                <w:kern w:val="0"/>
                <w:sz w:val="20"/>
                <w:szCs w:val="20"/>
              </w:rPr>
              <w:t>（</w:t>
            </w:r>
            <w:r>
              <w:rPr>
                <w:rFonts w:hint="eastAsia" w:ascii="宋体" w:hAnsi="宋体" w:eastAsia="宋体" w:cs="宋体"/>
                <w:kern w:val="0"/>
                <w:sz w:val="20"/>
                <w:szCs w:val="20"/>
                <w:lang w:val="en-US" w:eastAsia="zh-CN"/>
              </w:rPr>
              <w:t xml:space="preserve">10 </w:t>
            </w:r>
            <w:r>
              <w:rPr>
                <w:rFonts w:hint="eastAsia" w:ascii="宋体" w:hAnsi="宋体" w:eastAsia="宋体" w:cs="宋体"/>
                <w:kern w:val="0"/>
                <w:sz w:val="20"/>
                <w:szCs w:val="20"/>
              </w:rPr>
              <w:t>分）</w:t>
            </w:r>
          </w:p>
          <w:p w14:paraId="3393413B">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4479DD12">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color w:val="000000"/>
                <w:kern w:val="2"/>
                <w:sz w:val="20"/>
                <w:szCs w:val="20"/>
                <w:highlight w:val="none"/>
                <w:lang w:val="zh-CN" w:eastAsia="zh-CN" w:bidi="ar-SA"/>
              </w:rPr>
              <w:t>配备项目负责人、施工员、安全员、质量员、资(材)料员、</w:t>
            </w:r>
            <w:r>
              <w:rPr>
                <w:rFonts w:hint="eastAsia" w:ascii="宋体" w:hAnsi="宋体" w:eastAsia="宋体" w:cs="宋体"/>
                <w:b w:val="0"/>
                <w:i w:val="0"/>
                <w:strike w:val="0"/>
                <w:color w:val="auto"/>
                <w:sz w:val="20"/>
                <w:szCs w:val="20"/>
                <w:u w:val="none"/>
                <w:lang w:val="en-US" w:eastAsia="zh-CN"/>
              </w:rPr>
              <w:t>劳务员</w:t>
            </w:r>
            <w:r>
              <w:rPr>
                <w:rFonts w:hint="eastAsia" w:ascii="宋体" w:hAnsi="宋体" w:eastAsia="宋体" w:cs="宋体"/>
                <w:color w:val="000000"/>
                <w:kern w:val="2"/>
                <w:sz w:val="20"/>
                <w:szCs w:val="20"/>
                <w:highlight w:val="none"/>
                <w:lang w:val="zh-CN" w:eastAsia="zh-CN" w:bidi="ar-SA"/>
              </w:rPr>
              <w:t>。项目班子成员配备齐全</w:t>
            </w:r>
            <w:r>
              <w:rPr>
                <w:rFonts w:hint="eastAsia" w:ascii="宋体" w:hAnsi="宋体" w:eastAsia="宋体" w:cs="宋体"/>
                <w:color w:val="000000"/>
                <w:kern w:val="2"/>
                <w:sz w:val="20"/>
                <w:szCs w:val="20"/>
                <w:highlight w:val="none"/>
                <w:lang w:val="en-US" w:eastAsia="zh-CN" w:bidi="ar-SA"/>
              </w:rPr>
              <w:t>的</w:t>
            </w:r>
            <w:r>
              <w:rPr>
                <w:rFonts w:hint="eastAsia" w:ascii="宋体" w:hAnsi="宋体" w:eastAsia="宋体" w:cs="宋体"/>
                <w:color w:val="000000"/>
                <w:kern w:val="2"/>
                <w:sz w:val="20"/>
                <w:szCs w:val="20"/>
                <w:highlight w:val="none"/>
                <w:lang w:val="zh-CN" w:eastAsia="zh-CN" w:bidi="ar-SA"/>
              </w:rPr>
              <w:t>，得</w:t>
            </w:r>
            <w:r>
              <w:rPr>
                <w:rFonts w:hint="eastAsia" w:ascii="宋体" w:hAnsi="宋体" w:eastAsia="宋体" w:cs="宋体"/>
                <w:color w:val="000000"/>
                <w:kern w:val="2"/>
                <w:sz w:val="20"/>
                <w:szCs w:val="20"/>
                <w:highlight w:val="none"/>
                <w:lang w:val="en-US" w:eastAsia="zh-CN" w:bidi="ar-SA"/>
              </w:rPr>
              <w:t>6</w:t>
            </w:r>
            <w:r>
              <w:rPr>
                <w:rFonts w:hint="eastAsia" w:ascii="宋体" w:hAnsi="宋体" w:eastAsia="宋体" w:cs="宋体"/>
                <w:color w:val="000000"/>
                <w:kern w:val="2"/>
                <w:sz w:val="20"/>
                <w:szCs w:val="20"/>
                <w:highlight w:val="none"/>
                <w:lang w:val="zh-CN" w:eastAsia="zh-CN" w:bidi="ar-SA"/>
              </w:rPr>
              <w:t>分。每缺少一人扣</w:t>
            </w:r>
            <w:r>
              <w:rPr>
                <w:rFonts w:hint="eastAsia" w:ascii="宋体" w:hAnsi="宋体" w:eastAsia="宋体" w:cs="宋体"/>
                <w:color w:val="000000"/>
                <w:kern w:val="2"/>
                <w:sz w:val="20"/>
                <w:szCs w:val="20"/>
                <w:highlight w:val="none"/>
                <w:lang w:val="en-US" w:eastAsia="zh-CN" w:bidi="ar-SA"/>
              </w:rPr>
              <w:t>1</w:t>
            </w:r>
            <w:r>
              <w:rPr>
                <w:rFonts w:hint="eastAsia" w:ascii="宋体" w:hAnsi="宋体" w:eastAsia="宋体" w:cs="宋体"/>
                <w:color w:val="000000"/>
                <w:kern w:val="2"/>
                <w:sz w:val="20"/>
                <w:szCs w:val="20"/>
                <w:highlight w:val="none"/>
                <w:lang w:val="zh-CN" w:eastAsia="zh-CN" w:bidi="ar-SA"/>
              </w:rPr>
              <w:t>分，扣完为止。需提供</w:t>
            </w:r>
            <w:r>
              <w:rPr>
                <w:rFonts w:hint="eastAsia" w:ascii="宋体" w:hAnsi="宋体" w:eastAsia="宋体" w:cs="宋体"/>
                <w:color w:val="000000"/>
                <w:kern w:val="2"/>
                <w:sz w:val="20"/>
                <w:szCs w:val="20"/>
                <w:highlight w:val="none"/>
                <w:lang w:val="en-US" w:eastAsia="zh-CN" w:bidi="ar-SA"/>
              </w:rPr>
              <w:t>人员</w:t>
            </w:r>
            <w:r>
              <w:rPr>
                <w:rFonts w:hint="eastAsia" w:ascii="宋体" w:hAnsi="宋体" w:eastAsia="宋体" w:cs="宋体"/>
                <w:color w:val="000000"/>
                <w:kern w:val="2"/>
                <w:sz w:val="20"/>
                <w:szCs w:val="20"/>
                <w:highlight w:val="none"/>
                <w:lang w:val="zh-CN" w:eastAsia="zh-CN" w:bidi="ar-SA"/>
              </w:rPr>
              <w:t>岗位资格证书证明</w:t>
            </w:r>
            <w:r>
              <w:rPr>
                <w:rFonts w:hint="eastAsia" w:ascii="宋体" w:hAnsi="宋体" w:eastAsia="宋体" w:cs="宋体"/>
                <w:color w:val="000000"/>
                <w:kern w:val="2"/>
                <w:sz w:val="20"/>
                <w:szCs w:val="20"/>
                <w:highlight w:val="none"/>
                <w:lang w:val="en-US" w:eastAsia="zh-CN" w:bidi="ar-SA"/>
              </w:rPr>
              <w:t>资料</w:t>
            </w:r>
            <w:r>
              <w:rPr>
                <w:rFonts w:hint="eastAsia" w:ascii="宋体" w:hAnsi="宋体" w:eastAsia="宋体" w:cs="宋体"/>
                <w:color w:val="000000"/>
                <w:kern w:val="2"/>
                <w:sz w:val="20"/>
                <w:szCs w:val="20"/>
                <w:highlight w:val="none"/>
                <w:lang w:val="zh-CN" w:eastAsia="zh-CN" w:bidi="ar-SA"/>
              </w:rPr>
              <w:t>，</w:t>
            </w:r>
            <w:r>
              <w:rPr>
                <w:rFonts w:hint="eastAsia" w:ascii="宋体" w:hAnsi="宋体" w:eastAsia="宋体" w:cs="宋体"/>
                <w:color w:val="000000"/>
                <w:kern w:val="2"/>
                <w:sz w:val="20"/>
                <w:szCs w:val="20"/>
                <w:highlight w:val="none"/>
                <w:lang w:val="en-US" w:eastAsia="zh-CN" w:bidi="ar-SA"/>
              </w:rPr>
              <w:t>未</w:t>
            </w:r>
            <w:r>
              <w:rPr>
                <w:rFonts w:hint="eastAsia" w:ascii="宋体" w:hAnsi="宋体" w:eastAsia="宋体" w:cs="宋体"/>
                <w:color w:val="000000"/>
                <w:kern w:val="2"/>
                <w:sz w:val="20"/>
                <w:szCs w:val="20"/>
                <w:highlight w:val="none"/>
                <w:lang w:val="zh-CN" w:eastAsia="zh-CN" w:bidi="ar-SA"/>
              </w:rPr>
              <w:t>提供不得分。</w:t>
            </w:r>
          </w:p>
        </w:tc>
      </w:tr>
      <w:tr w14:paraId="4E5B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611" w:type="pct"/>
            <w:vMerge w:val="continue"/>
            <w:noWrap w:val="0"/>
            <w:vAlign w:val="center"/>
          </w:tcPr>
          <w:p w14:paraId="5C221643">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rPr>
            </w:pPr>
          </w:p>
        </w:tc>
        <w:tc>
          <w:tcPr>
            <w:tcW w:w="490" w:type="pct"/>
            <w:vMerge w:val="continue"/>
            <w:noWrap w:val="0"/>
            <w:vAlign w:val="center"/>
          </w:tcPr>
          <w:p w14:paraId="7BEC3138">
            <w:pPr>
              <w:pStyle w:val="6"/>
              <w:keepNext w:val="0"/>
              <w:keepLines w:val="0"/>
              <w:pageBreakBefore w:val="0"/>
              <w:kinsoku/>
              <w:wordWrap/>
              <w:topLinePunct w:val="0"/>
              <w:bidi w:val="0"/>
              <w:spacing w:line="240" w:lineRule="auto"/>
              <w:ind w:firstLine="0"/>
              <w:jc w:val="center"/>
              <w:rPr>
                <w:rFonts w:hint="eastAsia" w:ascii="宋体" w:hAnsi="宋体" w:eastAsia="宋体" w:cs="宋体"/>
                <w:b/>
                <w:sz w:val="24"/>
                <w:szCs w:val="24"/>
                <w:highlight w:val="none"/>
                <w:lang w:val="en-US" w:eastAsia="zh-CN"/>
              </w:rPr>
            </w:pPr>
          </w:p>
        </w:tc>
        <w:tc>
          <w:tcPr>
            <w:tcW w:w="576" w:type="pct"/>
            <w:vMerge w:val="continue"/>
            <w:noWrap w:val="0"/>
            <w:vAlign w:val="center"/>
          </w:tcPr>
          <w:p w14:paraId="3F833A84">
            <w:pPr>
              <w:spacing w:line="360" w:lineRule="auto"/>
              <w:jc w:val="center"/>
              <w:rPr>
                <w:rFonts w:hint="eastAsia" w:ascii="宋体" w:hAnsi="宋体" w:eastAsia="宋体" w:cs="宋体"/>
                <w:kern w:val="0"/>
                <w:sz w:val="20"/>
                <w:szCs w:val="20"/>
                <w:lang w:val="en-US" w:eastAsia="zh-CN" w:bidi="ar-SA"/>
              </w:rPr>
            </w:pPr>
          </w:p>
        </w:tc>
        <w:tc>
          <w:tcPr>
            <w:tcW w:w="3321" w:type="pct"/>
            <w:gridSpan w:val="2"/>
            <w:noWrap w:val="0"/>
            <w:vAlign w:val="center"/>
          </w:tcPr>
          <w:p w14:paraId="2D76308E">
            <w:pPr>
              <w:pStyle w:val="2"/>
              <w:spacing w:line="240" w:lineRule="auto"/>
              <w:rPr>
                <w:rFonts w:hint="eastAsia" w:ascii="宋体" w:hAnsi="宋体" w:eastAsia="宋体" w:cs="宋体"/>
                <w:kern w:val="2"/>
                <w:sz w:val="20"/>
                <w:szCs w:val="20"/>
                <w:lang w:val="en-US" w:eastAsia="zh-CN" w:bidi="ar-SA"/>
              </w:rPr>
            </w:pPr>
            <w:r>
              <w:rPr>
                <w:rFonts w:hint="eastAsia" w:ascii="宋体" w:hAnsi="宋体" w:eastAsia="宋体" w:cs="宋体"/>
                <w:b w:val="0"/>
                <w:i w:val="0"/>
                <w:strike w:val="0"/>
                <w:color w:val="auto"/>
                <w:sz w:val="20"/>
                <w:szCs w:val="20"/>
                <w:u w:val="none"/>
                <w:lang w:val="en-US" w:eastAsia="zh-CN"/>
              </w:rPr>
              <w:t>技术负责人有[建筑类中级（含）以上工程师]技术职称得2分；其它人员如施工员、材料员、质检员或质量员、安全员、资料员、劳务员，每有一人具有[建筑类中级（含）以上工程师]技术职称得1分（最多2分)，</w:t>
            </w:r>
          </w:p>
        </w:tc>
      </w:tr>
    </w:tbl>
    <w:p w14:paraId="25CBCD39">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8"/>
          <w:szCs w:val="28"/>
          <w:lang w:val="en-US" w:eastAsia="zh-CN"/>
        </w:rPr>
      </w:pPr>
    </w:p>
    <w:p w14:paraId="6611EC09">
      <w:pPr>
        <w:pStyle w:val="2"/>
        <w:rPr>
          <w:rFonts w:hint="eastAsia" w:ascii="宋体" w:hAnsi="宋体" w:eastAsia="宋体" w:cs="宋体"/>
          <w:b/>
          <w:sz w:val="28"/>
          <w:szCs w:val="28"/>
          <w:lang w:val="en-US" w:eastAsia="zh-CN"/>
        </w:rPr>
      </w:pPr>
    </w:p>
    <w:p w14:paraId="2DFF22E4">
      <w:pPr>
        <w:pStyle w:val="2"/>
        <w:rPr>
          <w:rFonts w:hint="eastAsia" w:ascii="宋体" w:hAnsi="宋体" w:eastAsia="宋体" w:cs="宋体"/>
          <w:b/>
          <w:sz w:val="28"/>
          <w:szCs w:val="28"/>
          <w:lang w:val="en-US" w:eastAsia="zh-CN"/>
        </w:rPr>
      </w:pPr>
    </w:p>
    <w:p w14:paraId="75D6D9BB">
      <w:pPr>
        <w:pageBreakBefore w:val="0"/>
        <w:numPr>
          <w:ilvl w:val="0"/>
          <w:numId w:val="0"/>
        </w:numPr>
        <w:wordWrap w:val="0"/>
        <w:autoSpaceDE/>
        <w:autoSpaceDN/>
        <w:bidi w:val="0"/>
        <w:snapToGrid/>
        <w:spacing w:line="360" w:lineRule="auto"/>
        <w:ind w:left="0" w:right="0" w:firstLine="0"/>
        <w:jc w:val="center"/>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443F721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B219E9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7C21F4B4">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5102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E3500F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59CBD84">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12D7F37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2DC5252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1F88751">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057162B">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A853EC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216C23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9B022D3">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0FB14AB2">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8E5725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4E287DA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7714E176">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EEF6AF0">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3692F97E">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2A68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9"/>
      </w:pPr>
    </w:p>
    <w:p w14:paraId="3132B795"/>
    <w:p w14:paraId="0A576042">
      <w:pPr>
        <w:pStyle w:val="9"/>
      </w:pPr>
    </w:p>
    <w:p w14:paraId="6DC81925"/>
    <w:p w14:paraId="73950FA8">
      <w:pPr>
        <w:pStyle w:val="9"/>
      </w:pPr>
    </w:p>
    <w:p w14:paraId="3D3ADE1E"/>
    <w:p w14:paraId="3EA602B9">
      <w:pPr>
        <w:pStyle w:val="9"/>
      </w:pPr>
    </w:p>
    <w:p w14:paraId="1C2369B1"/>
    <w:p w14:paraId="3D46A060">
      <w:pPr>
        <w:pStyle w:val="9"/>
      </w:pPr>
    </w:p>
    <w:p w14:paraId="0941FFCE"/>
    <w:p w14:paraId="46CE1A36">
      <w:pPr>
        <w:pStyle w:val="9"/>
      </w:pPr>
    </w:p>
    <w:p w14:paraId="2D3AA324"/>
    <w:p w14:paraId="5C50B345">
      <w:pPr>
        <w:pStyle w:val="9"/>
      </w:pPr>
    </w:p>
    <w:p w14:paraId="1C24A7AD"/>
    <w:p w14:paraId="38F03B4E">
      <w:pPr>
        <w:pStyle w:val="9"/>
      </w:pPr>
    </w:p>
    <w:p w14:paraId="5AB51ED1"/>
    <w:p w14:paraId="6F67E51F">
      <w:pPr>
        <w:pStyle w:val="9"/>
      </w:pPr>
    </w:p>
    <w:p w14:paraId="74F8E7E8"/>
    <w:p w14:paraId="5CC96C96">
      <w:pPr>
        <w:pStyle w:val="4"/>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响应</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2E08354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71112F7B">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十四、</w:t>
      </w:r>
      <w:r>
        <w:rPr>
          <w:rFonts w:hint="eastAsia" w:ascii="宋体" w:hAnsi="宋体" w:eastAsia="宋体" w:cs="宋体"/>
          <w:b w:val="0"/>
          <w:color w:val="000000"/>
          <w:sz w:val="24"/>
          <w:szCs w:val="24"/>
          <w:lang w:val="en-US" w:eastAsia="zh-CN"/>
        </w:rPr>
        <w:t>工程量清单</w:t>
      </w:r>
      <w:r>
        <w:rPr>
          <w:rFonts w:ascii="宋体" w:hAnsi="宋体" w:eastAsia="宋体" w:cs="宋体"/>
          <w:b w:val="0"/>
          <w:color w:val="000000"/>
          <w:sz w:val="24"/>
          <w:szCs w:val="24"/>
        </w:rPr>
        <w:t>.....................................................</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十五、其它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F63F366">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2C73EE2">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571724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EECD5AF">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CDFEC5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2364D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970CEED">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5"/>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84"/>
        <w:gridCol w:w="2520"/>
        <w:gridCol w:w="2018"/>
      </w:tblGrid>
      <w:tr w14:paraId="7FD8CEB7">
        <w:tblPrEx>
          <w:tblCellMar>
            <w:top w:w="0" w:type="dxa"/>
            <w:left w:w="108" w:type="dxa"/>
            <w:bottom w:w="0" w:type="dxa"/>
            <w:right w:w="108" w:type="dxa"/>
          </w:tblCellMar>
        </w:tblPrEx>
        <w:tc>
          <w:tcPr>
            <w:tcW w:w="3984"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520" w:type="dxa"/>
            <w:vAlign w:val="center"/>
          </w:tcPr>
          <w:p w14:paraId="47F97C8D">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工期</w:t>
            </w:r>
          </w:p>
        </w:tc>
        <w:tc>
          <w:tcPr>
            <w:tcW w:w="2018" w:type="dxa"/>
            <w:vAlign w:val="center"/>
          </w:tcPr>
          <w:p w14:paraId="7281713E">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质保期（年）</w:t>
            </w:r>
          </w:p>
        </w:tc>
      </w:tr>
      <w:tr w14:paraId="5993C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54" w:hRule="atLeast"/>
        </w:trPr>
        <w:tc>
          <w:tcPr>
            <w:tcW w:w="3984"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520" w:type="dxa"/>
            <w:vMerge w:val="restart"/>
            <w:vAlign w:val="center"/>
          </w:tcPr>
          <w:p w14:paraId="33073698">
            <w:pPr>
              <w:spacing w:line="360" w:lineRule="auto"/>
              <w:jc w:val="center"/>
              <w:rPr>
                <w:rFonts w:hint="eastAsia" w:ascii="宋体" w:hAnsi="宋体" w:eastAsia="宋体" w:cs="宋体"/>
                <w:b w:val="0"/>
                <w:color w:val="000000"/>
                <w:sz w:val="24"/>
                <w:szCs w:val="24"/>
                <w:lang w:val="en-US" w:eastAsia="zh-CN" w:bidi="ar-SA"/>
              </w:rPr>
            </w:pPr>
          </w:p>
        </w:tc>
        <w:tc>
          <w:tcPr>
            <w:tcW w:w="2018"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r>
      <w:tr w14:paraId="33E64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49" w:hRule="atLeast"/>
        </w:trPr>
        <w:tc>
          <w:tcPr>
            <w:tcW w:w="3984"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520" w:type="dxa"/>
            <w:vMerge w:val="continue"/>
            <w:vAlign w:val="center"/>
          </w:tcPr>
          <w:p w14:paraId="79C0107F"/>
        </w:tc>
        <w:tc>
          <w:tcPr>
            <w:tcW w:w="2018" w:type="dxa"/>
            <w:vMerge w:val="continue"/>
            <w:vAlign w:val="center"/>
          </w:tcPr>
          <w:p w14:paraId="3E61E7D2"/>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0E5E7F0D">
      <w:pPr>
        <w:spacing w:line="360" w:lineRule="auto"/>
        <w:rPr>
          <w:rFonts w:hint="eastAsia" w:asciiTheme="majorHAnsi" w:hAnsiTheme="majorHAnsi" w:eastAsiaTheme="majorEastAsia" w:cstheme="minorBidi"/>
          <w:b/>
          <w:color w:val="000000"/>
          <w:sz w:val="32"/>
          <w:szCs w:val="32"/>
          <w:lang w:val="en-US" w:eastAsia="zh-CN" w:bidi="ar-SA"/>
        </w:rPr>
      </w:pPr>
    </w:p>
    <w:p w14:paraId="30A954CA">
      <w:pPr>
        <w:spacing w:line="360" w:lineRule="auto"/>
        <w:rPr>
          <w:rFonts w:hint="eastAsia" w:asciiTheme="majorHAnsi" w:hAnsiTheme="majorHAnsi" w:eastAsiaTheme="majorEastAsia" w:cstheme="minorBidi"/>
          <w:b/>
          <w:color w:val="000000"/>
          <w:sz w:val="32"/>
          <w:szCs w:val="32"/>
          <w:lang w:val="en-US" w:eastAsia="zh-CN" w:bidi="ar-SA"/>
        </w:rPr>
      </w:pPr>
    </w:p>
    <w:p w14:paraId="5D0517F9">
      <w:pPr>
        <w:spacing w:line="360" w:lineRule="auto"/>
        <w:rPr>
          <w:rFonts w:hint="eastAsia" w:ascii="宋体" w:hAnsi="宋体" w:eastAsia="宋体" w:cs="宋体"/>
          <w:b/>
          <w:color w:val="000000"/>
          <w:sz w:val="32"/>
          <w:szCs w:val="32"/>
          <w:lang w:val="en-US" w:eastAsia="zh-CN" w:bidi="ar-SA"/>
        </w:rPr>
      </w:pPr>
      <w:r>
        <w:rPr>
          <w:rFonts w:hint="eastAsia" w:ascii="宋体" w:hAnsi="宋体" w:eastAsia="宋体" w:cs="宋体"/>
          <w:b/>
          <w:color w:val="000000"/>
          <w:sz w:val="32"/>
          <w:szCs w:val="32"/>
          <w:lang w:val="en-US" w:eastAsia="zh-CN" w:bidi="ar-SA"/>
        </w:rPr>
        <w:t>分项报价表（如有）</w:t>
      </w:r>
    </w:p>
    <w:p w14:paraId="25AF33AE">
      <w:pPr>
        <w:rPr>
          <w:rFonts w:ascii="宋体" w:hAnsi="宋体" w:eastAsia="宋体"/>
          <w:sz w:val="24"/>
          <w:szCs w:val="24"/>
          <w:lang w:val="zh-CN"/>
        </w:rPr>
      </w:pPr>
    </w:p>
    <w:p w14:paraId="713A4E43">
      <w:pPr>
        <w:rPr>
          <w:rFonts w:ascii="宋体" w:hAnsi="宋体" w:eastAsia="宋体"/>
          <w:sz w:val="24"/>
          <w:szCs w:val="24"/>
          <w:lang w:val="zh-CN"/>
        </w:rPr>
      </w:pPr>
    </w:p>
    <w:p w14:paraId="31570F2A">
      <w:pPr>
        <w:rPr>
          <w:rFonts w:ascii="宋体" w:hAnsi="宋体" w:eastAsia="宋体"/>
          <w:sz w:val="24"/>
          <w:szCs w:val="24"/>
          <w:lang w:val="zh-CN"/>
        </w:rPr>
      </w:pPr>
    </w:p>
    <w:p w14:paraId="3E3DCA0A">
      <w:pPr>
        <w:rPr>
          <w:rFonts w:ascii="宋体" w:hAnsi="宋体" w:eastAsia="宋体"/>
          <w:sz w:val="24"/>
          <w:szCs w:val="24"/>
          <w:lang w:val="zh-CN"/>
        </w:rPr>
      </w:pPr>
    </w:p>
    <w:p w14:paraId="4410E24D">
      <w:pPr>
        <w:rPr>
          <w:rFonts w:ascii="宋体" w:hAnsi="宋体" w:eastAsia="宋体"/>
          <w:sz w:val="24"/>
          <w:szCs w:val="24"/>
          <w:lang w:val="zh-CN"/>
        </w:rPr>
      </w:pPr>
    </w:p>
    <w:p w14:paraId="60F02A10">
      <w:pPr>
        <w:rPr>
          <w:rFonts w:ascii="宋体" w:hAnsi="宋体" w:eastAsia="宋体"/>
          <w:sz w:val="24"/>
          <w:szCs w:val="24"/>
          <w:lang w:val="zh-CN"/>
        </w:rPr>
      </w:pPr>
    </w:p>
    <w:p w14:paraId="67CF1CF8">
      <w:pPr>
        <w:rPr>
          <w:rFonts w:ascii="宋体" w:hAnsi="宋体" w:eastAsia="宋体"/>
          <w:sz w:val="24"/>
          <w:szCs w:val="24"/>
          <w:lang w:val="zh-CN"/>
        </w:rPr>
      </w:pPr>
    </w:p>
    <w:p w14:paraId="6EA4369B">
      <w:pPr>
        <w:rPr>
          <w:rFonts w:ascii="宋体" w:hAnsi="宋体" w:eastAsia="宋体"/>
          <w:sz w:val="24"/>
          <w:szCs w:val="24"/>
          <w:lang w:val="zh-CN"/>
        </w:rPr>
      </w:pPr>
    </w:p>
    <w:p w14:paraId="00642FF3">
      <w:pPr>
        <w:rPr>
          <w:rFonts w:ascii="宋体" w:hAnsi="宋体" w:eastAsia="宋体"/>
          <w:sz w:val="24"/>
          <w:szCs w:val="24"/>
          <w:lang w:val="zh-CN"/>
        </w:rPr>
      </w:pPr>
    </w:p>
    <w:p w14:paraId="169E8CE5">
      <w:pPr>
        <w:rPr>
          <w:rFonts w:ascii="宋体" w:hAnsi="宋体" w:eastAsia="宋体"/>
          <w:sz w:val="24"/>
          <w:szCs w:val="24"/>
          <w:lang w:val="zh-CN"/>
        </w:rPr>
      </w:pPr>
    </w:p>
    <w:p w14:paraId="2FB350CE">
      <w:pPr>
        <w:rPr>
          <w:rFonts w:ascii="宋体" w:hAnsi="宋体" w:eastAsia="宋体"/>
          <w:sz w:val="24"/>
          <w:szCs w:val="24"/>
          <w:lang w:val="zh-CN"/>
        </w:rPr>
      </w:pPr>
    </w:p>
    <w:p w14:paraId="72503B98">
      <w:pPr>
        <w:rPr>
          <w:rFonts w:ascii="宋体" w:hAnsi="宋体" w:eastAsia="宋体"/>
          <w:sz w:val="24"/>
          <w:szCs w:val="24"/>
          <w:lang w:val="zh-CN"/>
        </w:rPr>
      </w:pPr>
    </w:p>
    <w:p w14:paraId="1EEED8C1">
      <w:pPr>
        <w:rPr>
          <w:rFonts w:ascii="宋体" w:hAnsi="宋体" w:eastAsia="宋体"/>
          <w:sz w:val="24"/>
          <w:szCs w:val="24"/>
          <w:lang w:val="zh-CN"/>
        </w:rPr>
      </w:pPr>
    </w:p>
    <w:p w14:paraId="07764331">
      <w:pPr>
        <w:rPr>
          <w:rFonts w:ascii="宋体" w:hAnsi="宋体" w:eastAsia="宋体"/>
          <w:sz w:val="24"/>
          <w:szCs w:val="24"/>
          <w:lang w:val="zh-CN"/>
        </w:rPr>
      </w:pPr>
    </w:p>
    <w:p w14:paraId="202BAEDC">
      <w:pPr>
        <w:rPr>
          <w:rFonts w:ascii="宋体" w:hAnsi="宋体" w:eastAsia="宋体"/>
          <w:sz w:val="24"/>
          <w:szCs w:val="24"/>
          <w:lang w:val="zh-CN"/>
        </w:rPr>
      </w:pPr>
    </w:p>
    <w:p w14:paraId="1215F918">
      <w:pPr>
        <w:rPr>
          <w:rFonts w:ascii="宋体" w:hAnsi="宋体" w:eastAsia="宋体"/>
          <w:sz w:val="24"/>
          <w:szCs w:val="24"/>
          <w:lang w:val="zh-CN"/>
        </w:rPr>
      </w:pPr>
    </w:p>
    <w:p w14:paraId="3BF85B72">
      <w:pPr>
        <w:rPr>
          <w:rFonts w:ascii="宋体" w:hAnsi="宋体" w:eastAsia="宋体"/>
          <w:sz w:val="24"/>
          <w:szCs w:val="24"/>
          <w:lang w:val="zh-CN"/>
        </w:rPr>
      </w:pPr>
    </w:p>
    <w:p w14:paraId="4DA3D241">
      <w:pPr>
        <w:rPr>
          <w:rFonts w:ascii="宋体" w:hAnsi="宋体" w:eastAsia="宋体"/>
          <w:sz w:val="24"/>
          <w:szCs w:val="24"/>
          <w:lang w:val="zh-CN"/>
        </w:rPr>
      </w:pPr>
    </w:p>
    <w:p w14:paraId="0AB111D0">
      <w:pPr>
        <w:rPr>
          <w:rFonts w:ascii="宋体" w:hAnsi="宋体" w:eastAsia="宋体"/>
          <w:sz w:val="24"/>
          <w:szCs w:val="24"/>
          <w:lang w:val="zh-CN"/>
        </w:rPr>
      </w:pPr>
    </w:p>
    <w:p w14:paraId="26994921">
      <w:pPr>
        <w:rPr>
          <w:rFonts w:ascii="宋体" w:hAnsi="宋体" w:eastAsia="宋体"/>
          <w:sz w:val="24"/>
          <w:szCs w:val="24"/>
          <w:lang w:val="zh-CN"/>
        </w:rPr>
      </w:pPr>
    </w:p>
    <w:p w14:paraId="0A2D05ED">
      <w:pPr>
        <w:rPr>
          <w:rFonts w:ascii="宋体" w:hAnsi="宋体" w:eastAsia="宋体"/>
          <w:sz w:val="24"/>
          <w:szCs w:val="24"/>
          <w:lang w:val="zh-CN"/>
        </w:rPr>
      </w:pPr>
    </w:p>
    <w:p w14:paraId="556E3B3E">
      <w:pPr>
        <w:rPr>
          <w:rFonts w:ascii="宋体" w:hAnsi="宋体" w:eastAsia="宋体"/>
          <w:sz w:val="24"/>
          <w:szCs w:val="24"/>
          <w:lang w:val="zh-CN"/>
        </w:rPr>
      </w:pPr>
    </w:p>
    <w:p w14:paraId="1063071A">
      <w:pPr>
        <w:rPr>
          <w:rFonts w:ascii="宋体" w:hAnsi="宋体" w:eastAsia="宋体"/>
          <w:sz w:val="24"/>
          <w:szCs w:val="24"/>
          <w:lang w:val="zh-CN"/>
        </w:rPr>
      </w:pPr>
    </w:p>
    <w:p w14:paraId="7A162C34">
      <w:pPr>
        <w:rPr>
          <w:rFonts w:ascii="宋体" w:hAnsi="宋体" w:eastAsia="宋体"/>
          <w:sz w:val="24"/>
          <w:szCs w:val="24"/>
          <w:lang w:val="zh-CN"/>
        </w:rPr>
      </w:pPr>
    </w:p>
    <w:p w14:paraId="7D7F465B">
      <w:pPr>
        <w:rPr>
          <w:rFonts w:ascii="宋体" w:hAnsi="宋体" w:eastAsia="宋体"/>
          <w:sz w:val="24"/>
          <w:szCs w:val="24"/>
          <w:lang w:val="zh-CN"/>
        </w:rPr>
      </w:pPr>
    </w:p>
    <w:p w14:paraId="36520E65">
      <w:pPr>
        <w:rPr>
          <w:rFonts w:ascii="宋体" w:hAnsi="宋体" w:eastAsia="宋体"/>
          <w:sz w:val="24"/>
          <w:szCs w:val="24"/>
          <w:lang w:val="zh-CN"/>
        </w:rPr>
      </w:pPr>
    </w:p>
    <w:p w14:paraId="721B31D9">
      <w:pPr>
        <w:rPr>
          <w:rFonts w:ascii="宋体" w:hAnsi="宋体" w:eastAsia="宋体"/>
          <w:sz w:val="24"/>
          <w:szCs w:val="24"/>
          <w:lang w:val="zh-CN"/>
        </w:rPr>
      </w:pPr>
    </w:p>
    <w:p w14:paraId="4EFC99B4">
      <w:pPr>
        <w:rPr>
          <w:rFonts w:ascii="宋体" w:hAnsi="宋体" w:eastAsia="宋体"/>
          <w:sz w:val="24"/>
          <w:szCs w:val="24"/>
          <w:lang w:val="zh-CN"/>
        </w:rPr>
      </w:pPr>
    </w:p>
    <w:p w14:paraId="785CDE95">
      <w:pPr>
        <w:rPr>
          <w:rFonts w:ascii="宋体" w:hAnsi="宋体" w:eastAsia="宋体"/>
          <w:sz w:val="24"/>
          <w:szCs w:val="24"/>
          <w:lang w:val="zh-CN"/>
        </w:rPr>
      </w:pPr>
    </w:p>
    <w:p w14:paraId="70B6F116">
      <w:pPr>
        <w:rPr>
          <w:rFonts w:ascii="宋体" w:hAnsi="宋体" w:eastAsia="宋体"/>
          <w:sz w:val="24"/>
          <w:szCs w:val="24"/>
          <w:lang w:val="zh-CN"/>
        </w:rPr>
      </w:pPr>
    </w:p>
    <w:p w14:paraId="1CE843C0">
      <w:pPr>
        <w:rPr>
          <w:rFonts w:ascii="宋体" w:hAnsi="宋体" w:eastAsia="宋体"/>
          <w:sz w:val="24"/>
          <w:szCs w:val="24"/>
          <w:lang w:val="zh-CN"/>
        </w:rPr>
      </w:pPr>
    </w:p>
    <w:p w14:paraId="6319E4D8">
      <w:pPr>
        <w:rPr>
          <w:rFonts w:ascii="宋体" w:hAnsi="宋体" w:eastAsia="宋体"/>
          <w:sz w:val="24"/>
          <w:szCs w:val="24"/>
          <w:lang w:val="zh-CN"/>
        </w:rPr>
      </w:pPr>
    </w:p>
    <w:p w14:paraId="4FDE79C4">
      <w:pPr>
        <w:rPr>
          <w:rFonts w:ascii="宋体" w:hAnsi="宋体" w:eastAsia="宋体"/>
          <w:sz w:val="24"/>
          <w:szCs w:val="24"/>
          <w:lang w:val="zh-CN"/>
        </w:rPr>
      </w:pPr>
    </w:p>
    <w:p w14:paraId="2230D478">
      <w:pPr>
        <w:rPr>
          <w:rFonts w:ascii="宋体" w:hAnsi="宋体" w:eastAsia="宋体"/>
          <w:sz w:val="24"/>
          <w:szCs w:val="24"/>
          <w:lang w:val="zh-CN"/>
        </w:rPr>
      </w:pPr>
    </w:p>
    <w:p w14:paraId="0B8CEC06">
      <w:pPr>
        <w:rPr>
          <w:rFonts w:ascii="宋体" w:hAnsi="宋体" w:eastAsia="宋体"/>
          <w:sz w:val="24"/>
          <w:szCs w:val="24"/>
          <w:lang w:val="zh-CN"/>
        </w:rPr>
      </w:pPr>
    </w:p>
    <w:p w14:paraId="1D10AA9B">
      <w:pPr>
        <w:rPr>
          <w:rFonts w:ascii="宋体" w:hAnsi="宋体" w:eastAsia="宋体"/>
          <w:sz w:val="24"/>
          <w:szCs w:val="24"/>
          <w:lang w:val="zh-CN"/>
        </w:rPr>
      </w:pPr>
    </w:p>
    <w:p w14:paraId="3562A0CC">
      <w:pPr>
        <w:rPr>
          <w:rFonts w:ascii="宋体" w:hAnsi="宋体" w:eastAsia="宋体"/>
          <w:sz w:val="24"/>
          <w:szCs w:val="24"/>
          <w:lang w:val="zh-CN"/>
        </w:rPr>
      </w:pPr>
    </w:p>
    <w:p w14:paraId="30778C18">
      <w:pPr>
        <w:rPr>
          <w:rFonts w:ascii="宋体" w:hAnsi="宋体" w:eastAsia="宋体"/>
          <w:sz w:val="24"/>
          <w:szCs w:val="24"/>
          <w:lang w:val="zh-CN"/>
        </w:rPr>
      </w:pPr>
    </w:p>
    <w:p w14:paraId="3E537B92">
      <w:pPr>
        <w:rPr>
          <w:rFonts w:ascii="宋体" w:hAnsi="宋体" w:eastAsia="宋体"/>
          <w:sz w:val="24"/>
          <w:szCs w:val="24"/>
          <w:lang w:val="zh-CN"/>
        </w:rPr>
      </w:pPr>
    </w:p>
    <w:p w14:paraId="05BEDD49">
      <w:pPr>
        <w:rPr>
          <w:rFonts w:ascii="宋体" w:hAnsi="宋体" w:eastAsia="宋体"/>
          <w:sz w:val="24"/>
          <w:szCs w:val="24"/>
          <w:lang w:val="zh-CN"/>
        </w:rPr>
      </w:pPr>
    </w:p>
    <w:p w14:paraId="67D89C5A">
      <w:pPr>
        <w:rPr>
          <w:rFonts w:ascii="宋体" w:hAnsi="宋体" w:eastAsia="宋体"/>
          <w:sz w:val="24"/>
          <w:szCs w:val="24"/>
          <w:lang w:val="zh-CN"/>
        </w:rPr>
      </w:pPr>
    </w:p>
    <w:p w14:paraId="4E86B8AD">
      <w:pPr>
        <w:rPr>
          <w:rFonts w:ascii="宋体" w:hAnsi="宋体" w:eastAsia="宋体"/>
          <w:sz w:val="24"/>
          <w:szCs w:val="24"/>
          <w:lang w:val="zh-CN"/>
        </w:rPr>
      </w:pPr>
    </w:p>
    <w:p w14:paraId="575437C3">
      <w:pPr>
        <w:keepNext w:val="0"/>
        <w:keepLines w:val="0"/>
        <w:pageBreakBefore w:val="0"/>
        <w:widowControl/>
        <w:kinsoku/>
        <w:wordWrap/>
        <w:overflowPunct/>
        <w:topLinePunct w:val="0"/>
        <w:autoSpaceDE/>
        <w:autoSpaceDN/>
        <w:bidi w:val="0"/>
        <w:adjustRightInd/>
        <w:snapToGrid/>
        <w:spacing w:line="360" w:lineRule="auto"/>
        <w:ind w:firstLine="562" w:firstLineChars="200"/>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工程、服务项目无需填写此表</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4"/>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3998F540"/>
    <w:p w14:paraId="03F00AFD">
      <w:pPr>
        <w:rPr>
          <w:rFonts w:ascii="宋体" w:hAnsi="宋体" w:eastAsia="宋体"/>
          <w:sz w:val="24"/>
          <w:szCs w:val="24"/>
          <w:lang w:val="zh-CN"/>
        </w:rPr>
      </w:pPr>
      <w:r>
        <w:br w:type="page"/>
      </w:r>
    </w:p>
    <w:p w14:paraId="2925155A">
      <w:pPr>
        <w:keepNext w:val="0"/>
        <w:keepLines w:val="0"/>
        <w:pageBreakBefore w:val="0"/>
        <w:widowControl/>
        <w:numPr>
          <w:ilvl w:val="0"/>
          <w:numId w:val="0"/>
        </w:numPr>
        <w:kinsoku/>
        <w:wordWrap/>
        <w:overflowPunct/>
        <w:topLinePunct w:val="0"/>
        <w:autoSpaceDE/>
        <w:autoSpaceDN/>
        <w:bidi w:val="0"/>
        <w:adjustRightInd/>
        <w:snapToGrid/>
        <w:ind w:leftChars="0" w:firstLine="562" w:firstLineChars="200"/>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w:t>
      </w:r>
    </w:p>
    <w:p w14:paraId="00C9085F">
      <w:pPr>
        <w:pStyle w:val="5"/>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6AC0B6E">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5"/>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5"/>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5"/>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5"/>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5"/>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5"/>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5"/>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5"/>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7D7820C7">
      <w:pPr>
        <w:pStyle w:val="5"/>
        <w:rPr>
          <w:rFonts w:hint="eastAsia"/>
        </w:rPr>
      </w:pPr>
    </w:p>
    <w:p w14:paraId="2104070E">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工程量清单</w:t>
      </w:r>
    </w:p>
    <w:p w14:paraId="68686F9A">
      <w:pPr>
        <w:pStyle w:val="5"/>
        <w:keepNext w:val="0"/>
        <w:keepLines w:val="0"/>
        <w:pageBreakBefore w:val="0"/>
        <w:widowControl/>
        <w:numPr>
          <w:ilvl w:val="0"/>
          <w:numId w:val="0"/>
        </w:numPr>
        <w:kinsoku/>
        <w:overflowPunct/>
        <w:topLinePunct w:val="0"/>
        <w:autoSpaceDE/>
        <w:autoSpaceDN/>
        <w:bidi w:val="0"/>
        <w:adjustRightInd/>
        <w:snapToGrid/>
        <w:ind w:firstLine="320" w:firstLineChars="200"/>
        <w:jc w:val="left"/>
        <w:textAlignment w:val="auto"/>
        <w:outlineLvl w:val="2"/>
        <w:rPr>
          <w:rFonts w:hint="eastAsia"/>
          <w:lang w:val="en-US" w:eastAsia="zh-CN"/>
        </w:rPr>
      </w:pPr>
    </w:p>
    <w:p w14:paraId="17F60C46">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right="0" w:rightChars="0"/>
        <w:jc w:val="left"/>
        <w:textAlignment w:val="auto"/>
        <w:rPr>
          <w:rFonts w:hint="default" w:ascii="宋体" w:hAnsi="宋体" w:eastAsia="宋体" w:cs="宋体"/>
          <w:b/>
          <w:sz w:val="28"/>
          <w:szCs w:val="28"/>
          <w:lang w:val="en-US" w:eastAsia="zh-CN"/>
        </w:rPr>
      </w:pPr>
    </w:p>
    <w:p w14:paraId="4EF406DE">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十五、其它</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1">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2">
    <w:nsid w:val="43B5E7C1"/>
    <w:multiLevelType w:val="singleLevel"/>
    <w:tmpl w:val="43B5E7C1"/>
    <w:lvl w:ilvl="0" w:tentative="0">
      <w:start w:val="14"/>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6AA9C9E5"/>
    <w:multiLevelType w:val="singleLevel"/>
    <w:tmpl w:val="6AA9C9E5"/>
    <w:lvl w:ilvl="0" w:tentative="0">
      <w:start w:val="2"/>
      <w:numFmt w:val="chineseCounting"/>
      <w:suff w:val="nothing"/>
      <w:lvlText w:val="%1、"/>
      <w:lvlJc w:val="left"/>
      <w:rPr>
        <w:rFonts w:hint="eastAsia"/>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0B1084D"/>
    <w:rsid w:val="036C2F53"/>
    <w:rsid w:val="05076A5B"/>
    <w:rsid w:val="06816E75"/>
    <w:rsid w:val="06B07F83"/>
    <w:rsid w:val="06C14149"/>
    <w:rsid w:val="07EE0F70"/>
    <w:rsid w:val="080A65A2"/>
    <w:rsid w:val="081B095A"/>
    <w:rsid w:val="08CD140E"/>
    <w:rsid w:val="0D257E20"/>
    <w:rsid w:val="0DA07F51"/>
    <w:rsid w:val="0E7331C3"/>
    <w:rsid w:val="0F4E11A2"/>
    <w:rsid w:val="10D60D02"/>
    <w:rsid w:val="10EB7843"/>
    <w:rsid w:val="114A4798"/>
    <w:rsid w:val="11736C51"/>
    <w:rsid w:val="11AB1717"/>
    <w:rsid w:val="11EF4694"/>
    <w:rsid w:val="13CA2D3B"/>
    <w:rsid w:val="150E71F6"/>
    <w:rsid w:val="1696735F"/>
    <w:rsid w:val="16D52CED"/>
    <w:rsid w:val="16E14FBF"/>
    <w:rsid w:val="19545A30"/>
    <w:rsid w:val="198E5E9E"/>
    <w:rsid w:val="19BD2CB7"/>
    <w:rsid w:val="1B081C72"/>
    <w:rsid w:val="1BB9254A"/>
    <w:rsid w:val="1BFD6DB5"/>
    <w:rsid w:val="1CA63C50"/>
    <w:rsid w:val="1DBB0D93"/>
    <w:rsid w:val="1DCA77EF"/>
    <w:rsid w:val="1ED20D4A"/>
    <w:rsid w:val="1EEF1B50"/>
    <w:rsid w:val="20341AF8"/>
    <w:rsid w:val="2092329D"/>
    <w:rsid w:val="214C62A1"/>
    <w:rsid w:val="216D46C6"/>
    <w:rsid w:val="219306DB"/>
    <w:rsid w:val="224C6733"/>
    <w:rsid w:val="23507ADC"/>
    <w:rsid w:val="241F1D5F"/>
    <w:rsid w:val="24A7212A"/>
    <w:rsid w:val="24BE0363"/>
    <w:rsid w:val="25757733"/>
    <w:rsid w:val="26470B4A"/>
    <w:rsid w:val="266437D3"/>
    <w:rsid w:val="267A5F90"/>
    <w:rsid w:val="26915EA6"/>
    <w:rsid w:val="26DE053E"/>
    <w:rsid w:val="274D7F79"/>
    <w:rsid w:val="276714E7"/>
    <w:rsid w:val="281659F6"/>
    <w:rsid w:val="293A1937"/>
    <w:rsid w:val="29D54044"/>
    <w:rsid w:val="2B28723B"/>
    <w:rsid w:val="2B5C1706"/>
    <w:rsid w:val="2B8A6B32"/>
    <w:rsid w:val="2BAC4D24"/>
    <w:rsid w:val="2D1D3BDB"/>
    <w:rsid w:val="2D833519"/>
    <w:rsid w:val="2DFB03C5"/>
    <w:rsid w:val="2FC378C6"/>
    <w:rsid w:val="2FD9098F"/>
    <w:rsid w:val="2FDF17DF"/>
    <w:rsid w:val="2FF94837"/>
    <w:rsid w:val="302671DA"/>
    <w:rsid w:val="30D15875"/>
    <w:rsid w:val="32441EA5"/>
    <w:rsid w:val="3281623F"/>
    <w:rsid w:val="32944704"/>
    <w:rsid w:val="3436075B"/>
    <w:rsid w:val="34385EAF"/>
    <w:rsid w:val="34D54377"/>
    <w:rsid w:val="357A0FA3"/>
    <w:rsid w:val="35BF10FE"/>
    <w:rsid w:val="36A5156F"/>
    <w:rsid w:val="378A70E6"/>
    <w:rsid w:val="37FC75FC"/>
    <w:rsid w:val="383D56F7"/>
    <w:rsid w:val="393C0F46"/>
    <w:rsid w:val="3E650D1D"/>
    <w:rsid w:val="3E9002A8"/>
    <w:rsid w:val="3F552A03"/>
    <w:rsid w:val="40A31F26"/>
    <w:rsid w:val="420B38E3"/>
    <w:rsid w:val="42E570EA"/>
    <w:rsid w:val="43B51B88"/>
    <w:rsid w:val="44AA028A"/>
    <w:rsid w:val="4603606C"/>
    <w:rsid w:val="469A594D"/>
    <w:rsid w:val="47C04769"/>
    <w:rsid w:val="486160DA"/>
    <w:rsid w:val="48846AB5"/>
    <w:rsid w:val="489F057B"/>
    <w:rsid w:val="4A686022"/>
    <w:rsid w:val="4ABC14C5"/>
    <w:rsid w:val="4AED3729"/>
    <w:rsid w:val="4C422DF2"/>
    <w:rsid w:val="4E473895"/>
    <w:rsid w:val="4FAE4949"/>
    <w:rsid w:val="4FAE723C"/>
    <w:rsid w:val="4FB4704D"/>
    <w:rsid w:val="4FB664D2"/>
    <w:rsid w:val="50110E80"/>
    <w:rsid w:val="511070DA"/>
    <w:rsid w:val="525F3507"/>
    <w:rsid w:val="5277467D"/>
    <w:rsid w:val="53560822"/>
    <w:rsid w:val="557D67C8"/>
    <w:rsid w:val="56153F97"/>
    <w:rsid w:val="56866800"/>
    <w:rsid w:val="571E5CB6"/>
    <w:rsid w:val="576C6B11"/>
    <w:rsid w:val="57863DB7"/>
    <w:rsid w:val="58156ACB"/>
    <w:rsid w:val="58677144"/>
    <w:rsid w:val="59137211"/>
    <w:rsid w:val="5A17370E"/>
    <w:rsid w:val="5A7C4904"/>
    <w:rsid w:val="5A7F4E12"/>
    <w:rsid w:val="5C344BB6"/>
    <w:rsid w:val="5DFF20EB"/>
    <w:rsid w:val="5E1C5429"/>
    <w:rsid w:val="5E233CDF"/>
    <w:rsid w:val="5E744882"/>
    <w:rsid w:val="5ED418C8"/>
    <w:rsid w:val="5EE36D23"/>
    <w:rsid w:val="5EF71E76"/>
    <w:rsid w:val="5F0C0F9F"/>
    <w:rsid w:val="5F9F6C90"/>
    <w:rsid w:val="616C33F6"/>
    <w:rsid w:val="6212481D"/>
    <w:rsid w:val="62DE1443"/>
    <w:rsid w:val="62E24E32"/>
    <w:rsid w:val="64746C6E"/>
    <w:rsid w:val="64A55108"/>
    <w:rsid w:val="64E47B74"/>
    <w:rsid w:val="65724AA6"/>
    <w:rsid w:val="6585763E"/>
    <w:rsid w:val="65A85339"/>
    <w:rsid w:val="661108EC"/>
    <w:rsid w:val="665F0BE6"/>
    <w:rsid w:val="669049D8"/>
    <w:rsid w:val="66FC737F"/>
    <w:rsid w:val="67D14995"/>
    <w:rsid w:val="680272B9"/>
    <w:rsid w:val="68204E22"/>
    <w:rsid w:val="68BD20F9"/>
    <w:rsid w:val="6C0D60E9"/>
    <w:rsid w:val="6C36144B"/>
    <w:rsid w:val="6C951E77"/>
    <w:rsid w:val="6CF91F25"/>
    <w:rsid w:val="6D4F63E7"/>
    <w:rsid w:val="6E2E21FA"/>
    <w:rsid w:val="6EF0008F"/>
    <w:rsid w:val="6F236889"/>
    <w:rsid w:val="6F2A4AF9"/>
    <w:rsid w:val="6F3911E0"/>
    <w:rsid w:val="6F5104C0"/>
    <w:rsid w:val="6F7A7F8F"/>
    <w:rsid w:val="704F20EA"/>
    <w:rsid w:val="70CD0FAF"/>
    <w:rsid w:val="710F0089"/>
    <w:rsid w:val="71964CC8"/>
    <w:rsid w:val="719B7B32"/>
    <w:rsid w:val="71DA20A9"/>
    <w:rsid w:val="72D20C3B"/>
    <w:rsid w:val="74062957"/>
    <w:rsid w:val="75080C92"/>
    <w:rsid w:val="75554A93"/>
    <w:rsid w:val="75E17EDC"/>
    <w:rsid w:val="764374DD"/>
    <w:rsid w:val="76B56870"/>
    <w:rsid w:val="76B838A9"/>
    <w:rsid w:val="78564BB1"/>
    <w:rsid w:val="79003D12"/>
    <w:rsid w:val="79705208"/>
    <w:rsid w:val="7A8D5099"/>
    <w:rsid w:val="7BB21433"/>
    <w:rsid w:val="7BD215B2"/>
    <w:rsid w:val="7D1D14B5"/>
    <w:rsid w:val="7D582F68"/>
    <w:rsid w:val="7F112C06"/>
    <w:rsid w:val="7F14040A"/>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19"/>
    <w:autoRedefine/>
    <w:qFormat/>
    <w:uiPriority w:val="1"/>
    <w:pPr>
      <w:jc w:val="both"/>
    </w:pPr>
    <w:rPr>
      <w:rFonts w:asciiTheme="minorHAnsi" w:hAnsiTheme="minorHAnsi" w:eastAsiaTheme="minorEastAsia" w:cstheme="minorBidi"/>
      <w:sz w:val="21"/>
      <w:szCs w:val="21"/>
      <w:lang w:val="en-US" w:eastAsia="zh-CN" w:bidi="ar-SA"/>
    </w:rPr>
  </w:style>
  <w:style w:type="paragraph" w:styleId="3">
    <w:name w:val="heading 1"/>
    <w:basedOn w:val="1"/>
    <w:next w:val="1"/>
    <w:autoRedefine/>
    <w:qFormat/>
    <w:uiPriority w:val="7"/>
    <w:pPr>
      <w:spacing w:before="340" w:after="330" w:line="578" w:lineRule="auto"/>
      <w:outlineLvl w:val="0"/>
    </w:pPr>
    <w:rPr>
      <w:b/>
      <w:sz w:val="44"/>
      <w:szCs w:val="44"/>
    </w:rPr>
  </w:style>
  <w:style w:type="paragraph" w:styleId="4">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5">
    <w:name w:val="heading 3"/>
    <w:basedOn w:val="1"/>
    <w:next w:val="1"/>
    <w:unhideWhenUsed/>
    <w:qFormat/>
    <w:uiPriority w:val="0"/>
    <w:pPr>
      <w:jc w:val="left"/>
      <w:outlineLvl w:val="2"/>
    </w:pPr>
    <w:rPr>
      <w:rFonts w:hint="eastAsia" w:ascii="宋体" w:hAnsi="宋体" w:cs="Times New Roman"/>
      <w:b/>
      <w:kern w:val="0"/>
      <w:sz w:val="16"/>
      <w:szCs w:val="16"/>
    </w:rPr>
  </w:style>
  <w:style w:type="character" w:default="1" w:styleId="16">
    <w:name w:val="Default Paragraph Font"/>
    <w:autoRedefine/>
    <w:semiHidden/>
    <w:qFormat/>
    <w:uiPriority w:val="2"/>
  </w:style>
  <w:style w:type="table" w:default="1" w:styleId="14">
    <w:name w:val="Normal Table"/>
    <w:semiHidden/>
    <w:qFormat/>
    <w:uiPriority w:val="3"/>
    <w:tblPr>
      <w:tblCellMar>
        <w:top w:w="0" w:type="dxa"/>
        <w:left w:w="108" w:type="dxa"/>
        <w:bottom w:w="0" w:type="dxa"/>
        <w:right w:w="108" w:type="dxa"/>
      </w:tblCellMar>
    </w:tblPr>
  </w:style>
  <w:style w:type="paragraph" w:styleId="2">
    <w:name w:val="Body Text 2"/>
    <w:basedOn w:val="1"/>
    <w:unhideWhenUsed/>
    <w:qFormat/>
    <w:uiPriority w:val="99"/>
    <w:pPr>
      <w:spacing w:line="480" w:lineRule="auto"/>
    </w:pPr>
  </w:style>
  <w:style w:type="paragraph" w:styleId="6">
    <w:name w:val="Normal Indent"/>
    <w:basedOn w:val="1"/>
    <w:qFormat/>
    <w:uiPriority w:val="0"/>
    <w:pPr>
      <w:adjustRightInd w:val="0"/>
      <w:spacing w:line="360" w:lineRule="atLeast"/>
      <w:ind w:firstLine="482"/>
      <w:textAlignment w:val="baseline"/>
    </w:pPr>
    <w:rPr>
      <w:kern w:val="0"/>
      <w:sz w:val="24"/>
      <w:szCs w:val="20"/>
    </w:rPr>
  </w:style>
  <w:style w:type="paragraph" w:styleId="7">
    <w:name w:val="Body Text"/>
    <w:basedOn w:val="1"/>
    <w:next w:val="1"/>
    <w:qFormat/>
    <w:uiPriority w:val="1"/>
    <w:rPr>
      <w:rFonts w:ascii="微软雅黑" w:hAnsi="微软雅黑" w:eastAsia="微软雅黑" w:cs="微软雅黑"/>
      <w:sz w:val="15"/>
      <w:szCs w:val="15"/>
      <w:lang w:val="zh-CN" w:bidi="zh-CN"/>
    </w:rPr>
  </w:style>
  <w:style w:type="paragraph" w:styleId="8">
    <w:name w:val="Body Text Indent"/>
    <w:basedOn w:val="1"/>
    <w:qFormat/>
    <w:uiPriority w:val="0"/>
    <w:pPr>
      <w:spacing w:after="120"/>
      <w:ind w:left="420" w:leftChars="200"/>
    </w:pPr>
  </w:style>
  <w:style w:type="paragraph" w:styleId="9">
    <w:name w:val="Plain Text"/>
    <w:basedOn w:val="1"/>
    <w:qFormat/>
    <w:uiPriority w:val="0"/>
    <w:rPr>
      <w:rFonts w:ascii="宋体" w:hAnsi="Courier New"/>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3">
    <w:name w:val="Body Text First Indent 2"/>
    <w:basedOn w:val="8"/>
    <w:qFormat/>
    <w:uiPriority w:val="0"/>
    <w:pPr>
      <w:ind w:firstLine="420" w:firstLineChars="200"/>
    </w:pPr>
  </w:style>
  <w:style w:type="table" w:styleId="15">
    <w:name w:val="Table Grid"/>
    <w:basedOn w:val="14"/>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Normal_6"/>
    <w:next w:val="9"/>
    <w:qFormat/>
    <w:uiPriority w:val="0"/>
    <w:pPr>
      <w:widowControl w:val="0"/>
      <w:jc w:val="both"/>
    </w:pPr>
    <w:rPr>
      <w:rFonts w:ascii="Times New Roman" w:hAnsi="Times New Roman" w:eastAsia="宋体" w:cs="Times New Roman"/>
      <w:kern w:val="2"/>
      <w:sz w:val="21"/>
      <w:lang w:val="en-US" w:eastAsia="zh-CN" w:bidi="ar-SA"/>
    </w:rPr>
  </w:style>
  <w:style w:type="paragraph" w:styleId="18">
    <w:name w:val="List Paragraph"/>
    <w:basedOn w:val="1"/>
    <w:qFormat/>
    <w:uiPriority w:val="26"/>
    <w:pPr>
      <w:ind w:firstLine="200"/>
    </w:pPr>
    <w:rPr>
      <w:rFonts w:ascii="Times New Roman" w:hAnsi="Times New Roman" w:eastAsia="宋体" w:cs="Times New Roman"/>
      <w:sz w:val="28"/>
      <w:szCs w:val="28"/>
    </w:rPr>
  </w:style>
  <w:style w:type="character" w:customStyle="1" w:styleId="19">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0">
    <w:name w:val="font11"/>
    <w:basedOn w:val="16"/>
    <w:autoRedefine/>
    <w:qFormat/>
    <w:uiPriority w:val="0"/>
    <w:rPr>
      <w:rFonts w:hint="eastAsia" w:ascii="宋体" w:hAnsi="宋体" w:eastAsia="宋体" w:cs="宋体"/>
      <w:color w:val="000000"/>
      <w:sz w:val="24"/>
      <w:szCs w:val="24"/>
      <w:u w:val="none"/>
    </w:rPr>
  </w:style>
  <w:style w:type="character" w:customStyle="1" w:styleId="21">
    <w:name w:val="font31"/>
    <w:basedOn w:val="16"/>
    <w:autoRedefine/>
    <w:qFormat/>
    <w:uiPriority w:val="0"/>
    <w:rPr>
      <w:rFonts w:hint="eastAsia" w:ascii="宋体" w:hAnsi="宋体" w:eastAsia="宋体" w:cs="宋体"/>
      <w:color w:val="000000"/>
      <w:sz w:val="21"/>
      <w:szCs w:val="21"/>
      <w:u w:val="none"/>
    </w:rPr>
  </w:style>
  <w:style w:type="paragraph" w:customStyle="1" w:styleId="22">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3">
    <w:name w:val="font41"/>
    <w:basedOn w:val="16"/>
    <w:autoRedefine/>
    <w:qFormat/>
    <w:uiPriority w:val="0"/>
    <w:rPr>
      <w:rFonts w:ascii="Calibri" w:hAnsi="Calibri" w:cs="Calibri"/>
      <w:color w:val="000000"/>
      <w:sz w:val="28"/>
      <w:szCs w:val="28"/>
      <w:u w:val="none"/>
    </w:rPr>
  </w:style>
  <w:style w:type="character" w:customStyle="1" w:styleId="24">
    <w:name w:val="font21"/>
    <w:basedOn w:val="16"/>
    <w:autoRedefine/>
    <w:qFormat/>
    <w:uiPriority w:val="0"/>
    <w:rPr>
      <w:rFonts w:hint="eastAsia" w:ascii="宋体" w:hAnsi="宋体" w:eastAsia="宋体" w:cs="宋体"/>
      <w:color w:val="000000"/>
      <w:sz w:val="21"/>
      <w:szCs w:val="21"/>
      <w:u w:val="none"/>
    </w:rPr>
  </w:style>
  <w:style w:type="table" w:customStyle="1" w:styleId="25">
    <w:name w:val="网格型1"/>
    <w:basedOn w:val="26"/>
    <w:qFormat/>
    <w:uiPriority w:val="0"/>
    <w:pPr>
      <w:widowControl w:val="0"/>
      <w:jc w:val="both"/>
    </w:pPr>
  </w:style>
  <w:style w:type="table" w:customStyle="1" w:styleId="26">
    <w:name w:val="普通表格1"/>
    <w:semiHidden/>
    <w:qFormat/>
    <w:uiPriority w:val="0"/>
  </w:style>
  <w:style w:type="paragraph" w:customStyle="1" w:styleId="27">
    <w:name w:val="正文 A"/>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Arial Unicode MS" w:cs="Arial Unicode MS"/>
      <w:color w:val="000000"/>
      <w:spacing w:val="0"/>
      <w:w w:val="100"/>
      <w:kern w:val="2"/>
      <w:position w:val="0"/>
      <w:sz w:val="21"/>
      <w:szCs w:val="21"/>
      <w:u w:val="none" w:color="000000"/>
      <w:shd w:val="clear" w:color="auto" w:fill="auto"/>
      <w:vertAlign w:val="baseline"/>
      <w:lang w:val="en-US"/>
    </w:rPr>
  </w:style>
  <w:style w:type="paragraph" w:customStyle="1" w:styleId="28">
    <w:name w:val="段"/>
    <w:qFormat/>
    <w:uiPriority w:val="0"/>
    <w:pPr>
      <w:autoSpaceDE w:val="0"/>
      <w:autoSpaceDN w:val="0"/>
      <w:ind w:firstLine="420" w:firstLineChars="200"/>
      <w:jc w:val="both"/>
    </w:pPr>
    <w:rPr>
      <w:rFonts w:ascii="宋体" w:hAnsi="Calibri" w:eastAsia="宋体" w:cs="Times New Roman"/>
      <w:sz w:val="21"/>
      <w:szCs w:val="22"/>
      <w:lang w:val="en-US" w:eastAsia="zh-CN" w:bidi="ar-SA"/>
    </w:rPr>
  </w:style>
  <w:style w:type="paragraph" w:customStyle="1" w:styleId="29">
    <w:name w:val="列出段落1"/>
    <w:basedOn w:val="1"/>
    <w:qFormat/>
    <w:uiPriority w:val="34"/>
    <w:pPr>
      <w:ind w:firstLine="420" w:firstLineChars="200"/>
    </w:pPr>
    <w:rPr>
      <w:rFonts w:ascii="Times New Roman" w:hAnsi="Times New Roman" w:eastAsia="宋体" w:cs="Times New Roman"/>
      <w:sz w:val="28"/>
      <w:szCs w:val="21"/>
    </w:rPr>
  </w:style>
  <w:style w:type="paragraph" w:customStyle="1" w:styleId="30">
    <w:name w:val="正文_4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1">
    <w:name w:val="15_1"/>
    <w:basedOn w:val="16"/>
    <w:qFormat/>
    <w:uiPriority w:val="0"/>
    <w:rPr>
      <w:rFonts w:hint="default" w:ascii="Times New Roman" w:hAnsi="Times New Roman" w:eastAsia="Times New Roman" w:cs="Times New Roman"/>
    </w:rPr>
  </w:style>
  <w:style w:type="paragraph" w:customStyle="1" w:styleId="32">
    <w:name w:val="Normal"/>
    <w:qFormat/>
    <w:uiPriority w:val="0"/>
    <w:pPr>
      <w:widowControl w:val="0"/>
      <w:adjustRightInd w:val="0"/>
      <w:spacing w:line="315" w:lineRule="atLeast"/>
      <w:jc w:val="both"/>
      <w:textAlignment w:val="baseline"/>
    </w:pPr>
    <w:rPr>
      <w:rFonts w:ascii="宋体" w:hAnsi="Calibri" w:eastAsia="宋体" w:cs="Times New Roman"/>
      <w:sz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26</Pages>
  <Words>39</Words>
  <Characters>43</Characters>
  <Lines>0</Lines>
  <Paragraphs>0</Paragraphs>
  <TotalTime>18</TotalTime>
  <ScaleCrop>false</ScaleCrop>
  <LinksUpToDate>false</LinksUpToDate>
  <CharactersWithSpaces>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2026-10-08T03:35:30Z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FBE263028EA4476E88E4A6547176E523_13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