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r>
        <w:rPr>
          <w:rFonts w:hint="eastAsia" w:ascii="宋体" w:hAnsi="宋体" w:eastAsia="宋体" w:cs="宋体"/>
          <w:b/>
          <w:i w:val="0"/>
          <w:caps/>
          <w:color w:val="333333"/>
          <w:spacing w:val="0"/>
          <w:sz w:val="36"/>
          <w:szCs w:val="36"/>
          <w:lang w:val="en-US" w:eastAsia="zh-CN"/>
        </w:rPr>
        <w:t xml:space="preserve">  东胜部七氟丙烷气体灭火装置采购及安装调试项目（二次）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2026年10月10日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1200"/>
        <w:gridCol w:w="1079"/>
        <w:gridCol w:w="1079"/>
        <w:gridCol w:w="1683"/>
        <w:gridCol w:w="1650"/>
      </w:tblGrid>
      <w:tr w14:paraId="4986D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4BC3F4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3083" w:type="dxa"/>
            <w:vAlign w:val="center"/>
          </w:tcPr>
          <w:p w14:paraId="3BFA5F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83C6A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5608B4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规格</w:t>
            </w:r>
          </w:p>
        </w:tc>
        <w:tc>
          <w:tcPr>
            <w:tcW w:w="1079" w:type="dxa"/>
            <w:vAlign w:val="center"/>
          </w:tcPr>
          <w:p w14:paraId="08DFDA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64D1081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85F6B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982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07656EE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3083" w:type="dxa"/>
            <w:vAlign w:val="center"/>
          </w:tcPr>
          <w:p w14:paraId="53A0FF9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0A8A752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3E1560F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120L</w:t>
            </w:r>
          </w:p>
        </w:tc>
        <w:tc>
          <w:tcPr>
            <w:tcW w:w="1079" w:type="dxa"/>
            <w:vAlign w:val="center"/>
          </w:tcPr>
          <w:p w14:paraId="63D5C2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w:t>
            </w:r>
          </w:p>
        </w:tc>
        <w:tc>
          <w:tcPr>
            <w:tcW w:w="1683" w:type="dxa"/>
            <w:vAlign w:val="center"/>
          </w:tcPr>
          <w:p w14:paraId="31552AB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5000</w:t>
            </w:r>
          </w:p>
        </w:tc>
        <w:tc>
          <w:tcPr>
            <w:tcW w:w="1650" w:type="dxa"/>
            <w:vAlign w:val="center"/>
          </w:tcPr>
          <w:p w14:paraId="58188B6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60000</w:t>
            </w:r>
          </w:p>
        </w:tc>
      </w:tr>
      <w:tr w14:paraId="6AE6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E143720">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9CDEA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7AF259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23A967B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90L</w:t>
            </w:r>
          </w:p>
        </w:tc>
        <w:tc>
          <w:tcPr>
            <w:tcW w:w="1079" w:type="dxa"/>
            <w:vAlign w:val="center"/>
          </w:tcPr>
          <w:p w14:paraId="7C6D5F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w:t>
            </w:r>
          </w:p>
        </w:tc>
        <w:tc>
          <w:tcPr>
            <w:tcW w:w="1683" w:type="dxa"/>
            <w:vAlign w:val="center"/>
          </w:tcPr>
          <w:p w14:paraId="6EBEED6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4200</w:t>
            </w:r>
          </w:p>
        </w:tc>
        <w:tc>
          <w:tcPr>
            <w:tcW w:w="1650" w:type="dxa"/>
            <w:vAlign w:val="center"/>
          </w:tcPr>
          <w:p w14:paraId="32C8CE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29400</w:t>
            </w:r>
          </w:p>
        </w:tc>
      </w:tr>
      <w:tr w14:paraId="18547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43CB0906">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7AEB39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预估充装药剂HF-227</w:t>
            </w:r>
          </w:p>
        </w:tc>
        <w:tc>
          <w:tcPr>
            <w:tcW w:w="1200" w:type="dxa"/>
            <w:vAlign w:val="center"/>
          </w:tcPr>
          <w:p w14:paraId="0193FE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Kg</w:t>
            </w:r>
          </w:p>
        </w:tc>
        <w:tc>
          <w:tcPr>
            <w:tcW w:w="1079" w:type="dxa"/>
            <w:vAlign w:val="center"/>
          </w:tcPr>
          <w:p w14:paraId="6581A85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7CDAF1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2070</w:t>
            </w:r>
          </w:p>
        </w:tc>
        <w:tc>
          <w:tcPr>
            <w:tcW w:w="1683" w:type="dxa"/>
            <w:vAlign w:val="center"/>
          </w:tcPr>
          <w:p w14:paraId="405DBC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w:t>
            </w:r>
          </w:p>
        </w:tc>
        <w:tc>
          <w:tcPr>
            <w:tcW w:w="1650" w:type="dxa"/>
            <w:vAlign w:val="center"/>
          </w:tcPr>
          <w:p w14:paraId="279108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186300</w:t>
            </w:r>
          </w:p>
        </w:tc>
      </w:tr>
      <w:tr w14:paraId="62FD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76B98139">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B2252F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拆除旧设备及安装调试</w:t>
            </w:r>
          </w:p>
        </w:tc>
        <w:tc>
          <w:tcPr>
            <w:tcW w:w="1200" w:type="dxa"/>
            <w:vAlign w:val="center"/>
          </w:tcPr>
          <w:p w14:paraId="5761F13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079" w:type="dxa"/>
            <w:vAlign w:val="center"/>
          </w:tcPr>
          <w:p w14:paraId="32AAA1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BEEEA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683" w:type="dxa"/>
            <w:vAlign w:val="center"/>
          </w:tcPr>
          <w:p w14:paraId="36638C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c>
          <w:tcPr>
            <w:tcW w:w="1650" w:type="dxa"/>
            <w:vAlign w:val="center"/>
          </w:tcPr>
          <w:p w14:paraId="51D8C38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r>
      <w:tr w14:paraId="6AF1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4F89CE7">
            <w:pPr>
              <w:widowControl/>
              <w:jc w:val="center"/>
              <w:textAlignment w:val="center"/>
              <w:rPr>
                <w:rFonts w:hint="eastAsia" w:ascii="宋体" w:hAnsi="宋体" w:eastAsia="宋体" w:cs="宋体"/>
                <w:kern w:val="0"/>
                <w:sz w:val="28"/>
                <w:szCs w:val="28"/>
                <w:lang w:val="en-US" w:eastAsia="zh-CN"/>
              </w:rPr>
            </w:pPr>
          </w:p>
        </w:tc>
        <w:tc>
          <w:tcPr>
            <w:tcW w:w="8124" w:type="dxa"/>
            <w:gridSpan w:val="5"/>
            <w:vAlign w:val="center"/>
          </w:tcPr>
          <w:p w14:paraId="72489C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650" w:type="dxa"/>
            <w:vAlign w:val="center"/>
          </w:tcPr>
          <w:p w14:paraId="08BBF1C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278000</w:t>
            </w:r>
          </w:p>
        </w:tc>
      </w:tr>
      <w:tr w14:paraId="761D0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CA01F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FA4ED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6691" w:type="dxa"/>
            <w:gridSpan w:val="5"/>
            <w:vAlign w:val="center"/>
          </w:tcPr>
          <w:p w14:paraId="18D683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合同签订后20日内完成全部供货、安装、调试、清理、报验工作，达到竣工验收标准。</w:t>
            </w:r>
          </w:p>
        </w:tc>
      </w:tr>
      <w:tr w14:paraId="1806D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FA24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3D2E27E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6691" w:type="dxa"/>
            <w:gridSpan w:val="5"/>
            <w:vAlign w:val="center"/>
          </w:tcPr>
          <w:p w14:paraId="6A785B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整体项目质保2年（自整体验收合格之日起算），气瓶及核心设备按厂家标准质保，质保期内免费维修、免费更换非人为损坏配件、免费年度巡检调试。</w:t>
            </w:r>
          </w:p>
        </w:tc>
      </w:tr>
      <w:tr w14:paraId="1A3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10C1C7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2A60D44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5"/>
            <w:vAlign w:val="center"/>
          </w:tcPr>
          <w:p w14:paraId="322D468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货到调试完验收合格后支付中标价格的50%，满一年后无质量问题支付剩余50%。</w:t>
            </w:r>
          </w:p>
        </w:tc>
      </w:tr>
      <w:tr w14:paraId="097E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090A4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5E5B9F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5"/>
            <w:vAlign w:val="center"/>
          </w:tcPr>
          <w:p w14:paraId="7F10077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30AD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26D82E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5E41EFC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5"/>
            <w:vAlign w:val="center"/>
          </w:tcPr>
          <w:p w14:paraId="5044AB7C">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1.供应商具备有效的《安全生产许可证》；2.供应商须具备建设行政主管部门核发的消防设施工程专业承包资质（二级及以上）；</w:t>
            </w:r>
          </w:p>
        </w:tc>
      </w:tr>
    </w:tbl>
    <w:p w14:paraId="261249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bookmarkStart w:id="1" w:name="_GoBack"/>
      <w:bookmarkEnd w:id="1"/>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2E81A862">
      <w:pPr>
        <w:spacing w:before="120" w:after="120" w:line="288" w:lineRule="auto"/>
        <w:ind w:left="0"/>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28"/>
          <w:szCs w:val="28"/>
          <w:u w:val="single"/>
          <w:lang w:val="en-US" w:eastAsia="zh-CN"/>
        </w:rPr>
        <w:t>因门诊楼、东住院楼的</w:t>
      </w:r>
      <w:r>
        <w:rPr>
          <w:rFonts w:hint="eastAsia" w:ascii="宋体" w:hAnsi="宋体" w:eastAsia="宋体"/>
          <w:sz w:val="28"/>
          <w:szCs w:val="28"/>
          <w:u w:val="single"/>
        </w:rPr>
        <w:t>七氟丙烷自动灭火装置</w:t>
      </w:r>
      <w:r>
        <w:rPr>
          <w:rFonts w:hint="eastAsia" w:ascii="宋体" w:hAnsi="宋体" w:eastAsia="宋体"/>
          <w:sz w:val="28"/>
          <w:szCs w:val="28"/>
          <w:u w:val="single"/>
          <w:lang w:val="en-US" w:eastAsia="zh-CN"/>
        </w:rPr>
        <w:t>已达到国家强制报废标准，</w:t>
      </w:r>
      <w:r>
        <w:rPr>
          <w:rFonts w:hint="eastAsia" w:ascii="宋体" w:hAnsi="宋体" w:eastAsia="宋体"/>
          <w:sz w:val="28"/>
          <w:szCs w:val="28"/>
          <w:u w:val="single"/>
        </w:rPr>
        <w:t>为完善本</w:t>
      </w:r>
      <w:r>
        <w:rPr>
          <w:rFonts w:hint="eastAsia" w:ascii="宋体" w:hAnsi="宋体" w:eastAsia="宋体"/>
          <w:sz w:val="28"/>
          <w:szCs w:val="28"/>
          <w:u w:val="single"/>
          <w:lang w:val="en-US" w:eastAsia="zh-CN"/>
        </w:rPr>
        <w:t>院信息</w:t>
      </w:r>
      <w:r>
        <w:rPr>
          <w:rFonts w:hint="eastAsia" w:ascii="宋体" w:hAnsi="宋体" w:eastAsia="宋体"/>
          <w:sz w:val="28"/>
          <w:szCs w:val="28"/>
          <w:u w:val="single"/>
        </w:rPr>
        <w:t>机房、配电房、等重点防火区域气体灭火系统配置，消除消防安全隐患，保障重点设备及人员消防安全，现统一采购全新合格七氟丙烷自动灭火装置，包含设备供货、药剂充装、运输搬运、旧设备拆除、安装调试、检测验收、资料交付、质保等交钥匙全套服务。</w:t>
      </w:r>
    </w:p>
    <w:p w14:paraId="75CA7EFA">
      <w:pPr>
        <w:spacing w:line="360" w:lineRule="auto"/>
        <w:jc w:val="left"/>
        <w:rPr>
          <w:rFonts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003"/>
        <w:gridCol w:w="1575"/>
        <w:gridCol w:w="5677"/>
      </w:tblGrid>
      <w:tr w14:paraId="42D74BB4">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003"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1575"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名称</w:t>
            </w:r>
          </w:p>
        </w:tc>
        <w:tc>
          <w:tcPr>
            <w:tcW w:w="5677" w:type="dxa"/>
            <w:tcBorders>
              <w:top w:val="single" w:color="auto" w:sz="4" w:space="0"/>
              <w:left w:val="single" w:color="auto" w:sz="4" w:space="0"/>
              <w:bottom w:val="single" w:color="auto" w:sz="4" w:space="0"/>
              <w:right w:val="single" w:color="auto" w:sz="4" w:space="0"/>
            </w:tcBorders>
            <w:vAlign w:val="center"/>
          </w:tcPr>
          <w:p w14:paraId="09F0D8E8">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9E2DF97">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BB09EDC">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6F1F7A81">
            <w:pPr>
              <w:widowControl/>
              <w:jc w:val="center"/>
              <w:rPr>
                <w:rFonts w:hint="default" w:ascii="Arial" w:hAnsi="Arial" w:eastAsia="等线" w:cs="Arial"/>
                <w:sz w:val="22"/>
                <w:lang w:val="en-US" w:eastAsia="zh-CN"/>
              </w:rPr>
            </w:pPr>
            <w:r>
              <w:rPr>
                <w:rFonts w:hint="eastAsia" w:ascii="宋体" w:hAnsi="宋体" w:eastAsia="宋体" w:cs="宋体"/>
                <w:sz w:val="32"/>
                <w:szCs w:val="32"/>
                <w:lang w:val="en-US" w:eastAsia="zh-CN"/>
              </w:rPr>
              <w:t>1</w:t>
            </w:r>
          </w:p>
        </w:tc>
        <w:tc>
          <w:tcPr>
            <w:tcW w:w="1575" w:type="dxa"/>
            <w:tcBorders>
              <w:top w:val="single" w:color="auto" w:sz="4" w:space="0"/>
              <w:left w:val="nil"/>
              <w:bottom w:val="single" w:color="auto" w:sz="4" w:space="0"/>
              <w:right w:val="single" w:color="auto" w:sz="4" w:space="0"/>
            </w:tcBorders>
            <w:vAlign w:val="center"/>
          </w:tcPr>
          <w:p w14:paraId="6F189108">
            <w:pPr>
              <w:widowControl/>
              <w:jc w:val="center"/>
              <w:rPr>
                <w:rFonts w:hint="eastAsia" w:ascii="Arial" w:hAnsi="Arial" w:eastAsia="等线" w:cs="Arial"/>
                <w:sz w:val="22"/>
                <w:lang w:val="en-US" w:eastAsia="zh-CN"/>
              </w:rPr>
            </w:pPr>
            <w:r>
              <w:rPr>
                <w:rFonts w:hint="eastAsia" w:ascii="Arial" w:hAnsi="Arial" w:eastAsia="等线" w:cs="Arial"/>
                <w:sz w:val="22"/>
                <w:lang w:val="en-US" w:eastAsia="zh-CN"/>
              </w:rPr>
              <w:t>现场勘查</w:t>
            </w:r>
          </w:p>
        </w:tc>
        <w:tc>
          <w:tcPr>
            <w:tcW w:w="5677" w:type="dxa"/>
            <w:tcBorders>
              <w:top w:val="single" w:color="auto" w:sz="4" w:space="0"/>
              <w:left w:val="single" w:color="auto" w:sz="4" w:space="0"/>
              <w:bottom w:val="single" w:color="auto" w:sz="4" w:space="0"/>
              <w:right w:val="single" w:color="auto" w:sz="4" w:space="0"/>
            </w:tcBorders>
            <w:vAlign w:val="center"/>
          </w:tcPr>
          <w:p w14:paraId="12C88920">
            <w:pPr>
              <w:widowControl/>
              <w:jc w:val="left"/>
              <w:rPr>
                <w:rFonts w:hint="default" w:ascii="宋体" w:hAnsi="宋体" w:eastAsia="宋体" w:cs="宋体"/>
                <w:sz w:val="32"/>
                <w:szCs w:val="32"/>
                <w:lang w:val="en-US" w:eastAsia="zh-CN"/>
              </w:rPr>
            </w:pPr>
            <w:r>
              <w:rPr>
                <w:rFonts w:hint="eastAsia" w:ascii="Arial" w:hAnsi="Arial" w:eastAsia="等线" w:cs="Arial"/>
                <w:sz w:val="22"/>
                <w:lang w:val="en-US" w:eastAsia="zh-CN"/>
              </w:rPr>
              <w:t>投标企业报名之前必须联系保卫科进行现场勘查，否则不予接受报名；</w:t>
            </w:r>
          </w:p>
        </w:tc>
      </w:tr>
      <w:tr w14:paraId="52F80383">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w:t>
            </w:r>
          </w:p>
        </w:tc>
        <w:tc>
          <w:tcPr>
            <w:tcW w:w="1575" w:type="dxa"/>
            <w:tcBorders>
              <w:top w:val="single" w:color="auto" w:sz="4" w:space="0"/>
              <w:left w:val="nil"/>
              <w:bottom w:val="single" w:color="auto" w:sz="4" w:space="0"/>
              <w:right w:val="single" w:color="auto" w:sz="4" w:space="0"/>
            </w:tcBorders>
            <w:vAlign w:val="center"/>
          </w:tcPr>
          <w:p w14:paraId="1C4C5507">
            <w:pPr>
              <w:widowControl/>
              <w:jc w:val="center"/>
              <w:rPr>
                <w:rFonts w:ascii="宋体" w:hAnsi="宋体" w:eastAsia="宋体" w:cs="宋体"/>
                <w:sz w:val="32"/>
                <w:szCs w:val="32"/>
              </w:rPr>
            </w:pPr>
            <w:r>
              <w:rPr>
                <w:rFonts w:hint="eastAsia" w:ascii="Arial" w:hAnsi="Arial" w:eastAsia="等线" w:cs="Arial"/>
                <w:sz w:val="22"/>
                <w:lang w:val="en-US" w:eastAsia="zh-CN"/>
              </w:rPr>
              <w:t>采购范围</w:t>
            </w:r>
          </w:p>
        </w:tc>
        <w:tc>
          <w:tcPr>
            <w:tcW w:w="5677" w:type="dxa"/>
            <w:tcBorders>
              <w:top w:val="single" w:color="auto" w:sz="4" w:space="0"/>
              <w:left w:val="single" w:color="auto" w:sz="4" w:space="0"/>
              <w:bottom w:val="single" w:color="auto" w:sz="4" w:space="0"/>
              <w:right w:val="single" w:color="auto" w:sz="4" w:space="0"/>
            </w:tcBorders>
            <w:vAlign w:val="center"/>
          </w:tcPr>
          <w:p w14:paraId="587A3765">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1.灭火装置本体：柜式七氟丙烷气体灭火装置（含柜体（现场勘查确定柜体尺寸)、钢瓶、压力仪表、喷头、阀体组件等）;</w:t>
            </w:r>
          </w:p>
          <w:p w14:paraId="5CC26992">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2.灭火药剂：全新、合格的高纯七氟丙烷（HFC-227ea）灭火剂，要求洁净无污染、无残留、不腐蚀精密设备电路;</w:t>
            </w:r>
          </w:p>
          <w:p w14:paraId="2CA9E799">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3.配套辅材：全套电源线、信号线、穿线管、固定支架及其他安装辅材;</w:t>
            </w:r>
          </w:p>
          <w:p w14:paraId="14181438">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4.系统调试、模拟试验、竣工资料、质保服务等全部配套内容。</w:t>
            </w:r>
          </w:p>
        </w:tc>
      </w:tr>
      <w:tr w14:paraId="7589053F">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22BECC8A">
            <w:pPr>
              <w:numPr>
                <w:ilvl w:val="0"/>
                <w:numId w:val="0"/>
              </w:numPr>
              <w:spacing w:before="120" w:after="120" w:line="288"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w:t>
            </w:r>
          </w:p>
        </w:tc>
        <w:tc>
          <w:tcPr>
            <w:tcW w:w="1575" w:type="dxa"/>
            <w:tcBorders>
              <w:top w:val="single" w:color="auto" w:sz="4" w:space="0"/>
              <w:left w:val="nil"/>
              <w:bottom w:val="single" w:color="auto" w:sz="4" w:space="0"/>
              <w:right w:val="single" w:color="auto" w:sz="4" w:space="0"/>
            </w:tcBorders>
            <w:vAlign w:val="center"/>
          </w:tcPr>
          <w:p w14:paraId="60BE6417">
            <w:pPr>
              <w:numPr>
                <w:ilvl w:val="0"/>
                <w:numId w:val="0"/>
              </w:numPr>
              <w:spacing w:before="120" w:after="120" w:line="288" w:lineRule="auto"/>
              <w:jc w:val="center"/>
              <w:rPr>
                <w:rFonts w:hint="eastAsia" w:ascii="Arial" w:hAnsi="Arial" w:eastAsia="等线" w:cs="Arial"/>
                <w:sz w:val="22"/>
              </w:rPr>
            </w:pPr>
            <w:r>
              <w:rPr>
                <w:rFonts w:hint="eastAsia" w:ascii="Arial" w:hAnsi="Arial" w:eastAsia="等线" w:cs="Arial"/>
                <w:sz w:val="22"/>
              </w:rPr>
              <w:t>执行规范</w:t>
            </w:r>
          </w:p>
          <w:p w14:paraId="7E069B88">
            <w:pPr>
              <w:jc w:val="center"/>
              <w:rPr>
                <w:rFonts w:ascii="宋体" w:hAnsi="宋体" w:eastAsia="宋体" w:cs="宋体"/>
                <w:sz w:val="32"/>
                <w:szCs w:val="32"/>
              </w:rPr>
            </w:pPr>
          </w:p>
        </w:tc>
        <w:tc>
          <w:tcPr>
            <w:tcW w:w="5677" w:type="dxa"/>
            <w:tcBorders>
              <w:top w:val="single" w:color="auto" w:sz="4" w:space="0"/>
              <w:left w:val="single" w:color="auto" w:sz="4" w:space="0"/>
              <w:bottom w:val="single" w:color="auto" w:sz="4" w:space="0"/>
              <w:right w:val="single" w:color="auto" w:sz="4" w:space="0"/>
            </w:tcBorders>
            <w:vAlign w:val="center"/>
          </w:tcPr>
          <w:p w14:paraId="70E5305A">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1.</w:t>
            </w:r>
            <w:r>
              <w:rPr>
                <w:rFonts w:hint="eastAsia" w:ascii="Arial" w:hAnsi="Arial" w:eastAsia="等线" w:cs="Arial"/>
                <w:sz w:val="22"/>
              </w:rPr>
              <w:t>《气体灭火系统设计规范》（GB 50370-2005）</w:t>
            </w:r>
            <w:r>
              <w:rPr>
                <w:rFonts w:hint="eastAsia" w:ascii="Arial" w:hAnsi="Arial" w:eastAsia="等线" w:cs="Arial"/>
                <w:sz w:val="22"/>
                <w:lang w:eastAsia="zh-CN"/>
              </w:rPr>
              <w:t>；</w:t>
            </w:r>
          </w:p>
          <w:p w14:paraId="2317BD3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2.</w:t>
            </w:r>
            <w:r>
              <w:rPr>
                <w:rFonts w:hint="eastAsia" w:ascii="Arial" w:hAnsi="Arial" w:eastAsia="等线" w:cs="Arial"/>
                <w:sz w:val="22"/>
              </w:rPr>
              <w:t>《气体灭火系统施工及验收规范》（GB 50263-2007）</w:t>
            </w:r>
            <w:r>
              <w:rPr>
                <w:rFonts w:hint="eastAsia" w:ascii="Arial" w:hAnsi="Arial" w:eastAsia="等线" w:cs="Arial"/>
                <w:sz w:val="22"/>
                <w:lang w:eastAsia="zh-CN"/>
              </w:rPr>
              <w:t>；</w:t>
            </w:r>
          </w:p>
          <w:p w14:paraId="24E27CF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3.</w:t>
            </w:r>
            <w:r>
              <w:rPr>
                <w:rFonts w:hint="eastAsia" w:ascii="Arial" w:hAnsi="Arial" w:eastAsia="等线" w:cs="Arial"/>
                <w:sz w:val="22"/>
              </w:rPr>
              <w:t>《七氟丙烷（HFC227ea）灭火剂》（GB 18614-2022</w:t>
            </w:r>
            <w:r>
              <w:rPr>
                <w:rFonts w:hint="eastAsia" w:ascii="Arial" w:hAnsi="Arial" w:eastAsia="等线" w:cs="Arial"/>
                <w:sz w:val="22"/>
                <w:lang w:eastAsia="zh-CN"/>
              </w:rPr>
              <w:t>）；</w:t>
            </w:r>
          </w:p>
          <w:p w14:paraId="77F8870D">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4.</w:t>
            </w:r>
            <w:r>
              <w:rPr>
                <w:rFonts w:hint="eastAsia" w:ascii="Arial" w:hAnsi="Arial" w:eastAsia="等线" w:cs="Arial"/>
                <w:sz w:val="22"/>
              </w:rPr>
              <w:t> 《柜式气体灭火装置》（GB 16670）</w:t>
            </w:r>
            <w:r>
              <w:rPr>
                <w:rFonts w:hint="eastAsia" w:ascii="Arial" w:hAnsi="Arial" w:eastAsia="等线" w:cs="Arial"/>
                <w:sz w:val="22"/>
                <w:lang w:eastAsia="zh-CN"/>
              </w:rPr>
              <w:t>；</w:t>
            </w:r>
          </w:p>
          <w:p w14:paraId="3BB4238E">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hint="eastAsia" w:ascii="Arial" w:hAnsi="Arial" w:eastAsia="等线" w:cs="Arial"/>
                <w:sz w:val="22"/>
              </w:rPr>
              <w:t>《气体灭火系统及部件》（GB 25972）</w:t>
            </w:r>
            <w:r>
              <w:rPr>
                <w:rFonts w:hint="eastAsia" w:ascii="Arial" w:hAnsi="Arial" w:eastAsia="等线" w:cs="Arial"/>
                <w:sz w:val="22"/>
                <w:lang w:eastAsia="zh-CN"/>
              </w:rPr>
              <w:t>；</w:t>
            </w:r>
          </w:p>
          <w:p w14:paraId="049512F4">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《气瓶安全技术规程》（TSG 23-2021）</w:t>
            </w:r>
            <w:r>
              <w:rPr>
                <w:rFonts w:hint="eastAsia" w:ascii="Arial" w:hAnsi="Arial" w:eastAsia="等线" w:cs="Arial"/>
                <w:sz w:val="22"/>
                <w:lang w:eastAsia="zh-CN"/>
              </w:rPr>
              <w:t>；</w:t>
            </w:r>
          </w:p>
          <w:p w14:paraId="6ECA0058">
            <w:pPr>
              <w:numPr>
                <w:ilvl w:val="0"/>
                <w:numId w:val="0"/>
              </w:numPr>
              <w:spacing w:before="120" w:after="120" w:line="288" w:lineRule="auto"/>
              <w:jc w:val="left"/>
              <w:rPr>
                <w:rFonts w:hint="eastAsia" w:ascii="宋体" w:hAnsi="宋体" w:eastAsia="等线" w:cs="宋体"/>
                <w:sz w:val="32"/>
                <w:szCs w:val="32"/>
                <w:lang w:eastAsia="zh-CN"/>
              </w:rPr>
            </w:pPr>
            <w:r>
              <w:rPr>
                <w:rFonts w:hint="eastAsia" w:ascii="Arial" w:hAnsi="Arial" w:eastAsia="等线" w:cs="Arial"/>
                <w:sz w:val="22"/>
                <w:lang w:val="en-US" w:eastAsia="zh-CN"/>
              </w:rPr>
              <w:t>7.</w:t>
            </w:r>
            <w:r>
              <w:rPr>
                <w:rFonts w:hint="eastAsia" w:ascii="Arial" w:hAnsi="Arial" w:eastAsia="等线" w:cs="Arial"/>
                <w:sz w:val="22"/>
              </w:rPr>
              <w:t>国家消防产品强制认证及现行最新消防规范标准</w:t>
            </w:r>
            <w:r>
              <w:rPr>
                <w:rFonts w:hint="eastAsia" w:ascii="Arial" w:hAnsi="Arial" w:eastAsia="等线" w:cs="Arial"/>
                <w:sz w:val="22"/>
                <w:lang w:eastAsia="zh-CN"/>
              </w:rPr>
              <w:t>。</w:t>
            </w:r>
          </w:p>
        </w:tc>
      </w:tr>
      <w:tr w14:paraId="61AE9E8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A7141A1">
            <w:pPr>
              <w:widowControl/>
              <w:jc w:val="both"/>
              <w:rPr>
                <w:rFonts w:hint="eastAsia" w:ascii="宋体" w:hAnsi="宋体" w:eastAsia="宋体" w:cs="宋体"/>
                <w:sz w:val="32"/>
                <w:szCs w:val="32"/>
                <w:lang w:val="en-US" w:eastAsia="zh-CN"/>
              </w:rPr>
            </w:pPr>
          </w:p>
          <w:p w14:paraId="7770DEE2">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1575" w:type="dxa"/>
            <w:tcBorders>
              <w:top w:val="single" w:color="auto" w:sz="4" w:space="0"/>
              <w:left w:val="nil"/>
              <w:bottom w:val="single" w:color="auto" w:sz="4" w:space="0"/>
              <w:right w:val="single" w:color="auto" w:sz="4" w:space="0"/>
            </w:tcBorders>
            <w:vAlign w:val="center"/>
          </w:tcPr>
          <w:p w14:paraId="2D35BA7B">
            <w:pPr>
              <w:jc w:val="center"/>
              <w:rPr>
                <w:rFonts w:ascii="宋体" w:hAnsi="宋体" w:eastAsia="宋体" w:cs="宋体"/>
                <w:sz w:val="32"/>
                <w:szCs w:val="32"/>
              </w:rPr>
            </w:pPr>
            <w:r>
              <w:rPr>
                <w:rFonts w:hint="eastAsia" w:ascii="Arial" w:hAnsi="Arial" w:eastAsia="等线" w:cs="Arial"/>
                <w:sz w:val="22"/>
              </w:rPr>
              <w:t>核心技术要求</w:t>
            </w:r>
          </w:p>
        </w:tc>
        <w:tc>
          <w:tcPr>
            <w:tcW w:w="5677" w:type="dxa"/>
            <w:tcBorders>
              <w:top w:val="single" w:color="auto" w:sz="4" w:space="0"/>
              <w:left w:val="single" w:color="auto" w:sz="4" w:space="0"/>
              <w:bottom w:val="single" w:color="auto" w:sz="4" w:space="0"/>
              <w:right w:val="single" w:color="auto" w:sz="4" w:space="0"/>
            </w:tcBorders>
            <w:vAlign w:val="center"/>
          </w:tcPr>
          <w:p w14:paraId="6757EC44">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设备为全新柜式正品原厂设备（钢瓶为全新无缝钢瓶，公称压力、容积符合设计要求，瓶头阀、压力表、虹吸管、启动装置全套原装配套）无翻新、无二次充装、无库存积压旧设备（出厂日期要求为2026年生产）；</w:t>
            </w:r>
          </w:p>
          <w:p w14:paraId="5A77F92D">
            <w:pPr>
              <w:rPr>
                <w:rFonts w:hint="eastAsia" w:ascii="Arial" w:hAnsi="Arial" w:eastAsia="等线" w:cs="Arial"/>
                <w:sz w:val="22"/>
                <w:lang w:val="en-US" w:eastAsia="zh-CN"/>
              </w:rPr>
            </w:pPr>
            <w:r>
              <w:rPr>
                <w:rFonts w:hint="eastAsia" w:ascii="Arial" w:hAnsi="Arial" w:eastAsia="等线" w:cs="Arial"/>
                <w:sz w:val="22"/>
                <w:lang w:val="en-US" w:eastAsia="zh-CN"/>
              </w:rPr>
              <w:t>2.灭火介质：HFC-227ea七氟丙烷灭火剂，纯度≥99.6%，无色无味、洁净环保、绝缘不残留、不损坏设备，充装量必须满足原设计要求或满足现防护区容积灭火设计用量标准；</w:t>
            </w:r>
          </w:p>
          <w:p w14:paraId="542BE2B9">
            <w:pPr>
              <w:numPr>
                <w:ilvl w:val="0"/>
                <w:numId w:val="0"/>
              </w:numPr>
              <w:spacing w:before="120" w:after="120" w:line="288" w:lineRule="auto"/>
              <w:jc w:val="left"/>
              <w:rPr>
                <w:rFonts w:hint="eastAsia" w:eastAsia="等线"/>
                <w:highlight w:val="yellow"/>
                <w:lang w:val="en-US" w:eastAsia="zh-CN"/>
              </w:rPr>
            </w:pPr>
            <w:r>
              <w:rPr>
                <w:rFonts w:hint="eastAsia" w:ascii="Arial" w:hAnsi="Arial" w:eastAsia="等线" w:cs="Arial"/>
                <w:sz w:val="22"/>
                <w:lang w:val="en-US" w:eastAsia="zh-CN"/>
              </w:rPr>
              <w:t>3.</w:t>
            </w:r>
            <w:r>
              <w:rPr>
                <w:rFonts w:ascii="Arial" w:hAnsi="Arial" w:eastAsia="等线" w:cs="Arial"/>
                <w:sz w:val="22"/>
              </w:rPr>
              <w:t>系统具备自动探测、自动启动、手动紧急启停、</w:t>
            </w:r>
            <w:r>
              <w:rPr>
                <w:rFonts w:hint="eastAsia" w:ascii="Arial" w:hAnsi="Arial" w:eastAsia="等线" w:cs="Arial"/>
                <w:sz w:val="22"/>
              </w:rPr>
              <w:t>机械应急启动</w:t>
            </w:r>
            <w:r>
              <w:rPr>
                <w:rFonts w:hint="eastAsia" w:ascii="Arial" w:hAnsi="Arial" w:eastAsia="等线" w:cs="Arial"/>
                <w:sz w:val="22"/>
                <w:lang w:eastAsia="zh-CN"/>
              </w:rPr>
              <w:t>、</w:t>
            </w:r>
            <w:r>
              <w:rPr>
                <w:rFonts w:ascii="Arial" w:hAnsi="Arial" w:eastAsia="等线" w:cs="Arial"/>
                <w:sz w:val="22"/>
              </w:rPr>
              <w:t>延时喷射、声光预警、故障报警功能</w:t>
            </w:r>
            <w:r>
              <w:rPr>
                <w:rFonts w:hint="eastAsia" w:ascii="Arial" w:hAnsi="Arial" w:eastAsia="等线" w:cs="Arial"/>
                <w:sz w:val="22"/>
                <w:lang w:val="en-US" w:eastAsia="zh-CN"/>
              </w:rPr>
              <w:t>等：</w:t>
            </w:r>
          </w:p>
          <w:p w14:paraId="4F0D970A">
            <w:pPr>
              <w:numPr>
                <w:ilvl w:val="0"/>
                <w:numId w:val="0"/>
              </w:numPr>
              <w:spacing w:before="120" w:after="120" w:line="288" w:lineRule="auto"/>
              <w:jc w:val="left"/>
            </w:pPr>
            <w:r>
              <w:rPr>
                <w:rFonts w:hint="eastAsia" w:ascii="Arial" w:hAnsi="Arial" w:eastAsia="等线" w:cs="Arial"/>
                <w:sz w:val="22"/>
                <w:lang w:val="en-US" w:eastAsia="zh-CN"/>
              </w:rPr>
              <w:t>4.</w:t>
            </w:r>
            <w:r>
              <w:rPr>
                <w:rFonts w:ascii="Arial" w:hAnsi="Arial" w:eastAsia="等线" w:cs="Arial"/>
                <w:sz w:val="22"/>
              </w:rPr>
              <w:t>气瓶、阀体、压力表、管路配件均符合国家特种设备及消防检测标准，支持消防验收、年度巡检、第三方检测合格；</w:t>
            </w:r>
          </w:p>
          <w:p w14:paraId="42DD19D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ascii="Arial" w:hAnsi="Arial" w:eastAsia="等线" w:cs="Arial"/>
                <w:sz w:val="22"/>
              </w:rPr>
              <w:t>设备铭牌、出厂合格证、</w:t>
            </w:r>
            <w:r>
              <w:rPr>
                <w:rFonts w:hint="eastAsia" w:ascii="Arial" w:hAnsi="Arial" w:eastAsia="等线" w:cs="Arial"/>
                <w:sz w:val="22"/>
              </w:rPr>
              <w:t>型式</w:t>
            </w:r>
            <w:r>
              <w:rPr>
                <w:rFonts w:ascii="Arial" w:hAnsi="Arial" w:eastAsia="等线" w:cs="Arial"/>
                <w:sz w:val="22"/>
              </w:rPr>
              <w:t>检</w:t>
            </w:r>
            <w:r>
              <w:rPr>
                <w:rFonts w:hint="eastAsia" w:ascii="Arial" w:hAnsi="Arial" w:eastAsia="等线" w:cs="Arial"/>
                <w:sz w:val="22"/>
                <w:lang w:val="en-US" w:eastAsia="zh-CN"/>
              </w:rPr>
              <w:t>验</w:t>
            </w:r>
            <w:r>
              <w:rPr>
                <w:rFonts w:ascii="Arial" w:hAnsi="Arial" w:eastAsia="等线" w:cs="Arial"/>
                <w:sz w:val="22"/>
              </w:rPr>
              <w:t>报告、国家消防产品3C认证资料齐全可查可溯源证书可在国家消防产品信息网查询验证</w:t>
            </w:r>
            <w:r>
              <w:rPr>
                <w:rFonts w:hint="eastAsia" w:ascii="Arial" w:hAnsi="Arial" w:eastAsia="等线" w:cs="Arial"/>
                <w:sz w:val="22"/>
                <w:lang w:eastAsia="zh-CN"/>
              </w:rPr>
              <w:t>；</w:t>
            </w:r>
          </w:p>
          <w:p w14:paraId="3E9AD79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防护区灭火设计浓度符合规范，满足机房、配电房常规9%设计浓度要求。</w:t>
            </w:r>
          </w:p>
        </w:tc>
      </w:tr>
      <w:tr w14:paraId="289A85D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CC8276">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70113724">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5</w:t>
            </w:r>
          </w:p>
        </w:tc>
        <w:tc>
          <w:tcPr>
            <w:tcW w:w="1575" w:type="dxa"/>
            <w:tcBorders>
              <w:top w:val="single" w:color="auto" w:sz="4" w:space="0"/>
              <w:left w:val="nil"/>
              <w:bottom w:val="single" w:color="auto" w:sz="4" w:space="0"/>
              <w:right w:val="single" w:color="auto" w:sz="4" w:space="0"/>
            </w:tcBorders>
            <w:vAlign w:val="center"/>
          </w:tcPr>
          <w:p w14:paraId="2910BE5F">
            <w:pPr>
              <w:jc w:val="center"/>
              <w:rPr>
                <w:rFonts w:hint="default" w:ascii="宋体" w:hAnsi="宋体" w:eastAsia="宋体" w:cs="宋体"/>
                <w:sz w:val="32"/>
                <w:szCs w:val="32"/>
                <w:lang w:val="en-US" w:eastAsia="zh-CN"/>
              </w:rPr>
            </w:pPr>
            <w:r>
              <w:rPr>
                <w:rFonts w:hint="eastAsia" w:ascii="Arial" w:hAnsi="Arial" w:eastAsia="等线" w:cs="Arial"/>
                <w:sz w:val="22"/>
              </w:rPr>
              <w:t>竣工资料</w:t>
            </w:r>
          </w:p>
        </w:tc>
        <w:tc>
          <w:tcPr>
            <w:tcW w:w="5677" w:type="dxa"/>
            <w:tcBorders>
              <w:top w:val="single" w:color="auto" w:sz="4" w:space="0"/>
              <w:left w:val="single" w:color="auto" w:sz="4" w:space="0"/>
              <w:bottom w:val="single" w:color="auto" w:sz="4" w:space="0"/>
              <w:right w:val="single" w:color="auto" w:sz="4" w:space="0"/>
            </w:tcBorders>
            <w:vAlign w:val="center"/>
          </w:tcPr>
          <w:p w14:paraId="53889140">
            <w:pPr>
              <w:numPr>
                <w:ilvl w:val="0"/>
                <w:numId w:val="0"/>
              </w:numPr>
              <w:spacing w:before="120" w:after="120" w:line="288" w:lineRule="auto"/>
              <w:jc w:val="left"/>
              <w:rPr>
                <w:rFonts w:hint="default" w:ascii="宋体" w:hAnsi="宋体" w:eastAsia="宋体" w:cs="宋体"/>
                <w:sz w:val="32"/>
                <w:szCs w:val="32"/>
                <w:lang w:val="en-US"/>
              </w:rPr>
            </w:pPr>
            <w:r>
              <w:rPr>
                <w:rFonts w:hint="eastAsia" w:ascii="Arial" w:hAnsi="Arial" w:eastAsia="等线" w:cs="Arial"/>
                <w:sz w:val="22"/>
              </w:rPr>
              <w:t>完工后提供完整竣工资料</w:t>
            </w:r>
            <w:r>
              <w:rPr>
                <w:rFonts w:hint="eastAsia" w:ascii="Arial" w:hAnsi="Arial" w:eastAsia="等线" w:cs="Arial"/>
                <w:sz w:val="22"/>
                <w:lang w:eastAsia="zh-CN"/>
              </w:rPr>
              <w:t>：</w:t>
            </w:r>
            <w:r>
              <w:rPr>
                <w:rFonts w:hint="eastAsia" w:ascii="Arial" w:hAnsi="Arial" w:eastAsia="等线" w:cs="Arial"/>
                <w:sz w:val="22"/>
              </w:rPr>
              <w:t>3C证书、检测报告、合格证、竣工图纸、调试记录、设备台账</w:t>
            </w:r>
            <w:r>
              <w:rPr>
                <w:rFonts w:hint="eastAsia" w:ascii="Arial" w:hAnsi="Arial" w:eastAsia="等线" w:cs="Arial"/>
                <w:sz w:val="22"/>
                <w:lang w:val="en-US" w:eastAsia="zh-CN"/>
              </w:rPr>
              <w:t>等。</w:t>
            </w:r>
          </w:p>
        </w:tc>
      </w:tr>
      <w:tr w14:paraId="0078648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06D639">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30CD3D87">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6</w:t>
            </w:r>
          </w:p>
        </w:tc>
        <w:tc>
          <w:tcPr>
            <w:tcW w:w="1575" w:type="dxa"/>
            <w:tcBorders>
              <w:top w:val="single" w:color="auto" w:sz="4" w:space="0"/>
              <w:left w:val="nil"/>
              <w:bottom w:val="single" w:color="auto" w:sz="4" w:space="0"/>
              <w:right w:val="single" w:color="auto" w:sz="4" w:space="0"/>
            </w:tcBorders>
            <w:vAlign w:val="center"/>
          </w:tcPr>
          <w:p w14:paraId="2D2C4533">
            <w:pPr>
              <w:jc w:val="center"/>
              <w:rPr>
                <w:rFonts w:hint="eastAsia" w:ascii="Arial" w:hAnsi="Arial" w:eastAsia="等线" w:cs="Arial"/>
                <w:sz w:val="22"/>
                <w:lang w:val="en-US" w:eastAsia="zh-CN"/>
              </w:rPr>
            </w:pPr>
            <w:r>
              <w:rPr>
                <w:rFonts w:hint="eastAsia" w:ascii="Arial" w:hAnsi="Arial" w:eastAsia="等线" w:cs="Arial"/>
                <w:sz w:val="22"/>
              </w:rPr>
              <w:t>设备质量</w:t>
            </w:r>
          </w:p>
        </w:tc>
        <w:tc>
          <w:tcPr>
            <w:tcW w:w="5677" w:type="dxa"/>
            <w:tcBorders>
              <w:top w:val="single" w:color="auto" w:sz="4" w:space="0"/>
              <w:left w:val="single" w:color="auto" w:sz="4" w:space="0"/>
              <w:bottom w:val="single" w:color="auto" w:sz="4" w:space="0"/>
              <w:right w:val="single" w:color="auto" w:sz="4" w:space="0"/>
            </w:tcBorders>
            <w:vAlign w:val="center"/>
          </w:tcPr>
          <w:p w14:paraId="73ED922E">
            <w:pPr>
              <w:numPr>
                <w:ilvl w:val="0"/>
                <w:numId w:val="0"/>
              </w:numPr>
              <w:spacing w:before="120" w:after="120" w:line="288" w:lineRule="auto"/>
              <w:jc w:val="left"/>
              <w:rPr>
                <w:rFonts w:ascii="宋体" w:hAnsi="宋体" w:eastAsia="宋体" w:cs="宋体"/>
                <w:sz w:val="32"/>
                <w:szCs w:val="32"/>
              </w:rPr>
            </w:pPr>
            <w:r>
              <w:rPr>
                <w:rFonts w:hint="eastAsia" w:ascii="Arial" w:hAnsi="Arial" w:eastAsia="等线" w:cs="Arial"/>
                <w:sz w:val="22"/>
              </w:rPr>
              <w:t>确保系统一次性通过消防自查及主管部门抽查验收，因设备质量、安装工艺问题导致验收不合格，由中标单位无条件整改直至合格，费用</w:t>
            </w:r>
            <w:r>
              <w:rPr>
                <w:rFonts w:hint="eastAsia" w:ascii="Arial" w:hAnsi="Arial" w:eastAsia="等线" w:cs="Arial"/>
                <w:sz w:val="22"/>
                <w:lang w:val="en-US" w:eastAsia="zh-CN"/>
              </w:rPr>
              <w:t>由</w:t>
            </w:r>
            <w:r>
              <w:rPr>
                <w:rFonts w:hint="eastAsia" w:ascii="Arial" w:hAnsi="Arial" w:eastAsia="等线" w:cs="Arial"/>
                <w:sz w:val="22"/>
              </w:rPr>
              <w:t>中标单位</w:t>
            </w:r>
            <w:r>
              <w:rPr>
                <w:rFonts w:hint="eastAsia" w:ascii="Arial" w:hAnsi="Arial" w:eastAsia="等线" w:cs="Arial"/>
                <w:sz w:val="22"/>
                <w:lang w:val="en-US" w:eastAsia="zh-CN"/>
              </w:rPr>
              <w:t>负责</w:t>
            </w:r>
            <w:r>
              <w:rPr>
                <w:rFonts w:hint="eastAsia" w:ascii="Arial" w:hAnsi="Arial" w:eastAsia="等线" w:cs="Arial"/>
                <w:sz w:val="22"/>
              </w:rPr>
              <w:t>。</w:t>
            </w:r>
          </w:p>
        </w:tc>
      </w:tr>
      <w:tr w14:paraId="0261AF4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8B01E7B">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0C6DEE63">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7</w:t>
            </w:r>
          </w:p>
        </w:tc>
        <w:tc>
          <w:tcPr>
            <w:tcW w:w="1575" w:type="dxa"/>
            <w:tcBorders>
              <w:top w:val="single" w:color="auto" w:sz="4" w:space="0"/>
              <w:left w:val="nil"/>
              <w:bottom w:val="single" w:color="auto" w:sz="4" w:space="0"/>
              <w:right w:val="single" w:color="auto" w:sz="4" w:space="0"/>
            </w:tcBorders>
            <w:vAlign w:val="center"/>
          </w:tcPr>
          <w:p w14:paraId="27DA1FDC">
            <w:pPr>
              <w:jc w:val="center"/>
              <w:rPr>
                <w:rFonts w:hint="eastAsia" w:ascii="Arial" w:hAnsi="Arial" w:eastAsia="等线" w:cs="Arial"/>
                <w:sz w:val="22"/>
              </w:rPr>
            </w:pPr>
            <w:r>
              <w:rPr>
                <w:rFonts w:hint="eastAsia" w:ascii="Arial" w:hAnsi="Arial" w:eastAsia="等线" w:cs="Arial"/>
                <w:sz w:val="22"/>
              </w:rPr>
              <w:t>人员培训</w:t>
            </w:r>
          </w:p>
        </w:tc>
        <w:tc>
          <w:tcPr>
            <w:tcW w:w="5677" w:type="dxa"/>
            <w:tcBorders>
              <w:top w:val="single" w:color="auto" w:sz="4" w:space="0"/>
              <w:left w:val="single" w:color="auto" w:sz="4" w:space="0"/>
              <w:bottom w:val="single" w:color="auto" w:sz="4" w:space="0"/>
              <w:right w:val="single" w:color="auto" w:sz="4" w:space="0"/>
            </w:tcBorders>
            <w:vAlign w:val="center"/>
          </w:tcPr>
          <w:p w14:paraId="6BB9EB19">
            <w:pPr>
              <w:numPr>
                <w:ilvl w:val="0"/>
                <w:numId w:val="0"/>
              </w:numPr>
              <w:spacing w:before="120" w:after="120" w:line="288" w:lineRule="auto"/>
              <w:jc w:val="left"/>
              <w:rPr>
                <w:rFonts w:hint="eastAsia" w:ascii="Arial" w:hAnsi="Arial" w:eastAsia="等线" w:cs="Arial"/>
                <w:sz w:val="22"/>
              </w:rPr>
            </w:pPr>
            <w:r>
              <w:rPr>
                <w:rFonts w:hint="eastAsia" w:ascii="Arial" w:hAnsi="Arial" w:eastAsia="等线" w:cs="Arial"/>
                <w:sz w:val="22"/>
              </w:rPr>
              <w:t>免费对使用单位的安全管理人员开展设备操作、应急处置及日常巡检的培训。</w:t>
            </w:r>
          </w:p>
        </w:tc>
      </w:tr>
      <w:tr w14:paraId="112B7C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376162B">
            <w:pPr>
              <w:widowControl/>
              <w:jc w:val="center"/>
              <w:rPr>
                <w:rFonts w:hint="eastAsia" w:ascii="宋体" w:hAnsi="宋体" w:eastAsia="宋体" w:cs="宋体"/>
                <w:sz w:val="32"/>
                <w:szCs w:val="32"/>
                <w:lang w:val="en-US" w:eastAsia="zh-CN"/>
              </w:rPr>
            </w:pPr>
          </w:p>
        </w:tc>
        <w:tc>
          <w:tcPr>
            <w:tcW w:w="1003" w:type="dxa"/>
            <w:tcBorders>
              <w:top w:val="single" w:color="auto" w:sz="4" w:space="0"/>
              <w:left w:val="nil"/>
              <w:bottom w:val="single" w:color="auto" w:sz="4" w:space="0"/>
              <w:right w:val="single" w:color="auto" w:sz="4" w:space="0"/>
            </w:tcBorders>
            <w:vAlign w:val="center"/>
          </w:tcPr>
          <w:p w14:paraId="431E860A">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8</w:t>
            </w:r>
          </w:p>
        </w:tc>
        <w:tc>
          <w:tcPr>
            <w:tcW w:w="1575" w:type="dxa"/>
            <w:tcBorders>
              <w:top w:val="single" w:color="auto" w:sz="4" w:space="0"/>
              <w:left w:val="nil"/>
              <w:bottom w:val="single" w:color="auto" w:sz="4" w:space="0"/>
              <w:right w:val="single" w:color="auto" w:sz="4" w:space="0"/>
            </w:tcBorders>
            <w:vAlign w:val="center"/>
          </w:tcPr>
          <w:p w14:paraId="3ACAE593">
            <w:pPr>
              <w:jc w:val="center"/>
              <w:rPr>
                <w:rFonts w:hint="eastAsia" w:ascii="Arial" w:hAnsi="Arial" w:eastAsia="等线" w:cs="Arial"/>
                <w:sz w:val="22"/>
                <w:lang w:val="en-US" w:eastAsia="zh-CN"/>
              </w:rPr>
            </w:pPr>
            <w:r>
              <w:rPr>
                <w:rFonts w:hint="eastAsia" w:ascii="Arial" w:hAnsi="Arial" w:eastAsia="等线" w:cs="Arial"/>
                <w:sz w:val="22"/>
                <w:lang w:val="en-US" w:eastAsia="zh-CN"/>
              </w:rPr>
              <w:t>其他</w:t>
            </w:r>
          </w:p>
        </w:tc>
        <w:tc>
          <w:tcPr>
            <w:tcW w:w="5677" w:type="dxa"/>
            <w:tcBorders>
              <w:top w:val="single" w:color="auto" w:sz="4" w:space="0"/>
              <w:left w:val="single" w:color="auto" w:sz="4" w:space="0"/>
              <w:bottom w:val="single" w:color="auto" w:sz="4" w:space="0"/>
              <w:right w:val="single" w:color="auto" w:sz="4" w:space="0"/>
            </w:tcBorders>
            <w:vAlign w:val="center"/>
          </w:tcPr>
          <w:p w14:paraId="56F2DEE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本项目</w:t>
            </w:r>
            <w:r>
              <w:rPr>
                <w:rFonts w:hint="eastAsia" w:ascii="Arial" w:hAnsi="Arial" w:eastAsia="等线" w:cs="Arial"/>
                <w:sz w:val="22"/>
              </w:rPr>
              <w:t>报价包含设备费、药剂费、运输费、检测费、税费、安装、调试、旧设备拆除垃圾清运、验收、辅料、质保等全部费用</w:t>
            </w:r>
            <w:r>
              <w:rPr>
                <w:rFonts w:hint="eastAsia" w:ascii="Arial" w:hAnsi="Arial" w:eastAsia="等线" w:cs="Arial"/>
                <w:sz w:val="22"/>
                <w:lang w:eastAsia="zh-CN"/>
              </w:rPr>
              <w:t>。</w:t>
            </w:r>
          </w:p>
        </w:tc>
      </w:tr>
      <w:tr w14:paraId="2FC45593">
        <w:tblPrEx>
          <w:tblCellMar>
            <w:top w:w="0" w:type="dxa"/>
            <w:left w:w="108" w:type="dxa"/>
            <w:bottom w:w="0" w:type="dxa"/>
            <w:right w:w="108" w:type="dxa"/>
          </w:tblCellMar>
        </w:tblPrEx>
        <w:trPr>
          <w:trHeight w:val="773" w:hRule="atLeast"/>
          <w:jc w:val="center"/>
        </w:trPr>
        <w:tc>
          <w:tcPr>
            <w:tcW w:w="9810" w:type="dxa"/>
            <w:gridSpan w:val="4"/>
            <w:tcBorders>
              <w:top w:val="single" w:color="auto" w:sz="4" w:space="0"/>
              <w:left w:val="single" w:color="auto" w:sz="4" w:space="0"/>
              <w:bottom w:val="single" w:color="auto" w:sz="4" w:space="0"/>
              <w:right w:val="single" w:color="auto" w:sz="4" w:space="0"/>
            </w:tcBorders>
            <w:vAlign w:val="center"/>
          </w:tcPr>
          <w:p w14:paraId="6B33641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注：所有技术参数中标“</w:t>
            </w:r>
            <w:r>
              <w:rPr>
                <w:rFonts w:hint="eastAsia" w:ascii="宋体" w:hAnsi="宋体" w:eastAsia="宋体" w:cs="宋体"/>
                <w:sz w:val="32"/>
                <w:szCs w:val="32"/>
                <w:lang w:val="en-US" w:eastAsia="zh-CN"/>
              </w:rPr>
              <w:t>★</w:t>
            </w:r>
            <w:r>
              <w:rPr>
                <w:rFonts w:hint="eastAsia" w:ascii="Arial" w:hAnsi="Arial" w:eastAsia="等线" w:cs="Arial"/>
                <w:sz w:val="22"/>
                <w:lang w:val="en-US" w:eastAsia="zh-CN"/>
              </w:rPr>
              <w:t>”项为主要技术参数，任意1条不满足则导致响应无效。</w:t>
            </w:r>
          </w:p>
        </w:tc>
      </w:tr>
    </w:tbl>
    <w:p w14:paraId="1DA14224">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C15DCFD-923B-41C9-B34B-9AB77ED558CD}"/>
  </w:font>
  <w:font w:name="黑体">
    <w:panose1 w:val="02010609060101010101"/>
    <w:charset w:val="86"/>
    <w:family w:val="auto"/>
    <w:pitch w:val="default"/>
    <w:sig w:usb0="800002BF" w:usb1="38CF7CFA" w:usb2="00000016" w:usb3="00000000" w:csb0="00040001" w:csb1="00000000"/>
    <w:embedRegular r:id="rId2" w:fontKey="{542F6277-55AB-4961-9502-0451C8D1B1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FDC19FBF-F6A1-4D71-A00B-6DD4A39337BD}"/>
  </w:font>
  <w:font w:name="Calibri Light">
    <w:panose1 w:val="020F0302020204030204"/>
    <w:charset w:val="00"/>
    <w:family w:val="auto"/>
    <w:pitch w:val="default"/>
    <w:sig w:usb0="E4002EFF" w:usb1="C200247B" w:usb2="00000009" w:usb3="00000000" w:csb0="200001FF" w:csb1="00000000"/>
    <w:embedRegular r:id="rId4" w:fontKey="{3236A2EA-22FC-4158-AE86-73F02387FB36}"/>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5" w:fontKey="{445AB04B-4F88-4DCC-AE70-49FD48CD3E9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3D74CF1"/>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DC462C4"/>
    <w:rsid w:val="3E122A76"/>
    <w:rsid w:val="3E650D1D"/>
    <w:rsid w:val="3E9002A8"/>
    <w:rsid w:val="3F552A03"/>
    <w:rsid w:val="41317562"/>
    <w:rsid w:val="4168007A"/>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51</Words>
  <Characters>55</Characters>
  <Lines>0</Lines>
  <Paragraphs>0</Paragraphs>
  <TotalTime>1</TotalTime>
  <ScaleCrop>false</ScaleCrop>
  <LinksUpToDate>false</LinksUpToDate>
  <CharactersWithSpaces>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2026-10-10T07:12:11Z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176CD6F02C384E258DD652717A81A07F_13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