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7AC87205">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康巴什部锅炉燃气燃烧器低氮改造项目</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2026年10月22日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2"/>
        <w:tblW w:w="99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4006"/>
        <w:gridCol w:w="1320"/>
        <w:gridCol w:w="1230"/>
        <w:gridCol w:w="2310"/>
      </w:tblGrid>
      <w:tr w14:paraId="29F99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4006" w:type="dxa"/>
            <w:vAlign w:val="center"/>
          </w:tcPr>
          <w:p w14:paraId="3E37CC3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320" w:type="dxa"/>
            <w:vAlign w:val="center"/>
          </w:tcPr>
          <w:p w14:paraId="07310B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230"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2310" w:type="dxa"/>
            <w:vAlign w:val="center"/>
          </w:tcPr>
          <w:p w14:paraId="14356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43D3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17C02F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4006" w:type="dxa"/>
            <w:vAlign w:val="center"/>
          </w:tcPr>
          <w:p w14:paraId="76F16622">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康巴什部锅炉燃气燃烧器低氮改造项目</w:t>
            </w:r>
          </w:p>
        </w:tc>
        <w:tc>
          <w:tcPr>
            <w:tcW w:w="1320" w:type="dxa"/>
            <w:vAlign w:val="center"/>
          </w:tcPr>
          <w:p w14:paraId="569A970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1230" w:type="dxa"/>
            <w:vAlign w:val="center"/>
          </w:tcPr>
          <w:p w14:paraId="535899A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310" w:type="dxa"/>
            <w:vAlign w:val="center"/>
          </w:tcPr>
          <w:p w14:paraId="1D45D755">
            <w:pPr>
              <w:widowControl/>
              <w:ind w:firstLine="280" w:firstLineChars="100"/>
              <w:jc w:val="both"/>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120000</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BC628AE">
            <w:pPr>
              <w:widowControl/>
              <w:jc w:val="center"/>
              <w:textAlignment w:val="center"/>
              <w:rPr>
                <w:rFonts w:hint="eastAsia" w:ascii="宋体" w:hAnsi="宋体" w:eastAsia="宋体" w:cs="宋体"/>
                <w:kern w:val="0"/>
                <w:sz w:val="28"/>
                <w:szCs w:val="28"/>
                <w:lang w:val="en-US" w:eastAsia="zh-CN"/>
              </w:rPr>
            </w:pPr>
          </w:p>
        </w:tc>
        <w:tc>
          <w:tcPr>
            <w:tcW w:w="6556" w:type="dxa"/>
            <w:gridSpan w:val="3"/>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2310" w:type="dxa"/>
            <w:vAlign w:val="center"/>
          </w:tcPr>
          <w:p w14:paraId="1CE8AE6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120000</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4006"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4860" w:type="dxa"/>
            <w:gridSpan w:val="3"/>
            <w:vAlign w:val="center"/>
          </w:tcPr>
          <w:p w14:paraId="7217420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 xml:space="preserve"> 合同签订后15日内到指定施工现场</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4006"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4860" w:type="dxa"/>
            <w:gridSpan w:val="3"/>
            <w:vAlign w:val="center"/>
          </w:tcPr>
          <w:p w14:paraId="56B9AF7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1年</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091"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4006"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4860" w:type="dxa"/>
            <w:gridSpan w:val="3"/>
            <w:vAlign w:val="center"/>
          </w:tcPr>
          <w:p w14:paraId="0658054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安装完成验收合格后支付审计审定合同金额的90%，1年质保期后支付剩余10%。</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4006" w:type="dxa"/>
            <w:vAlign w:val="center"/>
          </w:tcPr>
          <w:p w14:paraId="2FD57B8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4860" w:type="dxa"/>
            <w:gridSpan w:val="3"/>
            <w:vAlign w:val="center"/>
          </w:tcPr>
          <w:p w14:paraId="4B29C0F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鄂尔多斯市中心医院（康巴什部）</w:t>
            </w:r>
          </w:p>
        </w:tc>
      </w:tr>
      <w:tr w14:paraId="630EB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23876936">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4006" w:type="dxa"/>
            <w:vAlign w:val="center"/>
          </w:tcPr>
          <w:p w14:paraId="1E44A5B1">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4860" w:type="dxa"/>
            <w:gridSpan w:val="3"/>
            <w:vAlign w:val="center"/>
          </w:tcPr>
          <w:p w14:paraId="45967116">
            <w:pPr>
              <w:widowControl/>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投标人具有有效的《中华人民共和国特种设备生产许可证》，(许可子项目锅炉安装(含修理、改造)(B)级）</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4C773A18">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31CC90C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sz w:val="32"/>
          <w:szCs w:val="32"/>
          <w:u w:val="single"/>
        </w:rPr>
      </w:pPr>
      <w:r>
        <w:rPr>
          <w:rFonts w:hint="eastAsia" w:ascii="仿宋" w:hAnsi="仿宋" w:eastAsia="仿宋" w:cs="仿宋"/>
          <w:sz w:val="32"/>
          <w:szCs w:val="32"/>
          <w:lang w:val="en-US" w:eastAsia="zh-CN"/>
        </w:rPr>
        <w:t>（一）</w:t>
      </w:r>
      <w:r>
        <w:rPr>
          <w:rFonts w:hint="eastAsia" w:ascii="仿宋" w:hAnsi="仿宋" w:eastAsia="仿宋" w:cs="仿宋"/>
          <w:sz w:val="32"/>
          <w:szCs w:val="32"/>
        </w:rPr>
        <w:t>项目基本情况介绍：</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eastAsia="zh-CN"/>
        </w:rPr>
        <w:t>根据鄂府发〔</w:t>
      </w:r>
      <w:r>
        <w:rPr>
          <w:rFonts w:hint="eastAsia" w:ascii="仿宋" w:hAnsi="仿宋" w:eastAsia="仿宋" w:cs="仿宋"/>
          <w:sz w:val="32"/>
          <w:szCs w:val="32"/>
          <w:u w:val="single"/>
          <w:lang w:val="en-US" w:eastAsia="zh-CN"/>
        </w:rPr>
        <w:t>2024〕61号《</w:t>
      </w:r>
      <w:r>
        <w:rPr>
          <w:rFonts w:hint="eastAsia" w:ascii="仿宋" w:hAnsi="仿宋" w:eastAsia="仿宋" w:cs="仿宋"/>
          <w:sz w:val="32"/>
          <w:szCs w:val="32"/>
          <w:u w:val="single"/>
          <w:lang w:eastAsia="zh-CN"/>
        </w:rPr>
        <w:t>关于印发空气质量持续改善行动实施方案的通知》通知要求，拟对康巴什部一台</w:t>
      </w:r>
      <w:r>
        <w:rPr>
          <w:rFonts w:hint="eastAsia" w:ascii="仿宋" w:hAnsi="仿宋" w:eastAsia="仿宋" w:cs="仿宋"/>
          <w:sz w:val="32"/>
          <w:szCs w:val="32"/>
          <w:u w:val="single"/>
          <w:lang w:val="en-US" w:eastAsia="zh-CN"/>
        </w:rPr>
        <w:t>锅炉</w:t>
      </w:r>
      <w:r>
        <w:rPr>
          <w:rFonts w:hint="eastAsia" w:ascii="仿宋" w:hAnsi="仿宋" w:eastAsia="仿宋" w:cs="仿宋"/>
          <w:sz w:val="32"/>
          <w:szCs w:val="32"/>
          <w:u w:val="single"/>
          <w:lang w:eastAsia="zh-CN"/>
        </w:rPr>
        <w:t>进行低氮改造。拆除原有锅炉燃</w:t>
      </w:r>
      <w:r>
        <w:rPr>
          <w:rFonts w:hint="eastAsia" w:ascii="仿宋" w:hAnsi="仿宋" w:eastAsia="仿宋" w:cs="仿宋"/>
          <w:sz w:val="32"/>
          <w:szCs w:val="32"/>
          <w:u w:val="single"/>
          <w:lang w:val="en-US" w:eastAsia="zh-CN"/>
        </w:rPr>
        <w:t>气燃</w:t>
      </w:r>
      <w:r>
        <w:rPr>
          <w:rFonts w:hint="eastAsia" w:ascii="仿宋" w:hAnsi="仿宋" w:eastAsia="仿宋" w:cs="仿宋"/>
          <w:sz w:val="32"/>
          <w:szCs w:val="32"/>
          <w:u w:val="single"/>
          <w:lang w:eastAsia="zh-CN"/>
        </w:rPr>
        <w:t>烧</w:t>
      </w:r>
      <w:r>
        <w:rPr>
          <w:rFonts w:hint="eastAsia" w:ascii="仿宋" w:hAnsi="仿宋" w:eastAsia="仿宋" w:cs="仿宋"/>
          <w:sz w:val="32"/>
          <w:szCs w:val="32"/>
          <w:u w:val="single"/>
          <w:lang w:val="en-US" w:eastAsia="zh-CN"/>
        </w:rPr>
        <w:t>器</w:t>
      </w:r>
      <w:r>
        <w:rPr>
          <w:rFonts w:hint="eastAsia" w:ascii="仿宋" w:hAnsi="仿宋" w:eastAsia="仿宋" w:cs="仿宋"/>
          <w:sz w:val="32"/>
          <w:szCs w:val="32"/>
          <w:u w:val="single"/>
          <w:lang w:eastAsia="zh-CN"/>
        </w:rPr>
        <w:t>，安装低氮</w:t>
      </w:r>
      <w:r>
        <w:rPr>
          <w:rFonts w:hint="eastAsia" w:ascii="仿宋" w:hAnsi="仿宋" w:eastAsia="仿宋" w:cs="仿宋"/>
          <w:sz w:val="32"/>
          <w:szCs w:val="32"/>
          <w:u w:val="single"/>
          <w:lang w:val="en-US" w:eastAsia="zh-CN"/>
        </w:rPr>
        <w:t>燃气</w:t>
      </w:r>
      <w:r>
        <w:rPr>
          <w:rFonts w:hint="eastAsia" w:ascii="仿宋" w:hAnsi="仿宋" w:eastAsia="仿宋" w:cs="仿宋"/>
          <w:sz w:val="32"/>
          <w:szCs w:val="32"/>
          <w:u w:val="single"/>
          <w:lang w:eastAsia="zh-CN"/>
        </w:rPr>
        <w:t>燃烧</w:t>
      </w:r>
      <w:r>
        <w:rPr>
          <w:rFonts w:hint="eastAsia" w:ascii="仿宋" w:hAnsi="仿宋" w:eastAsia="仿宋" w:cs="仿宋"/>
          <w:sz w:val="32"/>
          <w:szCs w:val="32"/>
          <w:u w:val="single"/>
          <w:lang w:val="en-US" w:eastAsia="zh-CN"/>
        </w:rPr>
        <w:t>器</w:t>
      </w:r>
      <w:r>
        <w:rPr>
          <w:rFonts w:hint="eastAsia" w:ascii="仿宋" w:hAnsi="仿宋" w:eastAsia="仿宋" w:cs="仿宋"/>
          <w:sz w:val="32"/>
          <w:szCs w:val="32"/>
          <w:u w:val="single"/>
          <w:lang w:eastAsia="zh-CN"/>
        </w:rPr>
        <w:t>、节能器、节能器阀门及仪表管道、烟气回流管及阀门</w:t>
      </w:r>
      <w:r>
        <w:rPr>
          <w:rFonts w:hint="eastAsia" w:ascii="仿宋" w:hAnsi="仿宋" w:eastAsia="仿宋" w:cs="仿宋"/>
          <w:sz w:val="32"/>
          <w:szCs w:val="32"/>
          <w:u w:val="single"/>
          <w:lang w:val="en-US" w:eastAsia="zh-CN"/>
        </w:rPr>
        <w:t>等</w:t>
      </w:r>
      <w:r>
        <w:rPr>
          <w:rFonts w:hint="eastAsia" w:ascii="仿宋" w:hAnsi="仿宋" w:eastAsia="仿宋" w:cs="仿宋"/>
          <w:sz w:val="32"/>
          <w:szCs w:val="32"/>
          <w:u w:val="single"/>
          <w:lang w:eastAsia="zh-CN"/>
        </w:rPr>
        <w:t>。</w:t>
      </w:r>
      <w:r>
        <w:rPr>
          <w:rFonts w:hint="eastAsia" w:ascii="仿宋" w:hAnsi="仿宋" w:eastAsia="仿宋" w:cs="仿宋"/>
          <w:sz w:val="32"/>
          <w:szCs w:val="32"/>
          <w:u w:val="single"/>
        </w:rPr>
        <w:t xml:space="preserve">                      </w:t>
      </w:r>
    </w:p>
    <w:p w14:paraId="75CA7EF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32"/>
          <w:szCs w:val="32"/>
          <w:u w:val="single"/>
        </w:rPr>
      </w:pPr>
      <w:r>
        <w:rPr>
          <w:rFonts w:hint="eastAsia" w:ascii="仿宋" w:hAnsi="仿宋" w:eastAsia="仿宋" w:cs="仿宋"/>
          <w:sz w:val="32"/>
          <w:szCs w:val="32"/>
          <w:lang w:val="en-US" w:eastAsia="zh-CN"/>
        </w:rPr>
        <w:t>（二）</w:t>
      </w:r>
      <w:r>
        <w:rPr>
          <w:rFonts w:hint="eastAsia" w:ascii="仿宋" w:hAnsi="仿宋" w:eastAsia="仿宋" w:cs="仿宋"/>
          <w:sz w:val="32"/>
          <w:szCs w:val="32"/>
        </w:rPr>
        <w:t>技术参数和要求（功能和质量）</w:t>
      </w:r>
    </w:p>
    <w:tbl>
      <w:tblPr>
        <w:tblStyle w:val="11"/>
        <w:tblW w:w="9810" w:type="dxa"/>
        <w:jc w:val="center"/>
        <w:tblLayout w:type="fixed"/>
        <w:tblCellMar>
          <w:top w:w="0" w:type="dxa"/>
          <w:left w:w="108" w:type="dxa"/>
          <w:bottom w:w="0" w:type="dxa"/>
          <w:right w:w="108" w:type="dxa"/>
        </w:tblCellMar>
      </w:tblPr>
      <w:tblGrid>
        <w:gridCol w:w="1555"/>
        <w:gridCol w:w="1134"/>
        <w:gridCol w:w="7121"/>
      </w:tblGrid>
      <w:tr w14:paraId="7E759BFE">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62AC71">
            <w:pPr>
              <w:widowControl/>
              <w:jc w:val="center"/>
              <w:rPr>
                <w:rFonts w:hint="eastAsia" w:ascii="仿宋" w:hAnsi="仿宋" w:eastAsia="仿宋" w:cs="仿宋"/>
                <w:sz w:val="32"/>
                <w:szCs w:val="32"/>
              </w:rPr>
            </w:pPr>
            <w:r>
              <w:rPr>
                <w:rFonts w:hint="eastAsia" w:ascii="仿宋" w:hAnsi="仿宋" w:eastAsia="仿宋" w:cs="仿宋"/>
                <w:sz w:val="32"/>
                <w:szCs w:val="32"/>
              </w:rPr>
              <w:t>参数性质</w:t>
            </w:r>
          </w:p>
        </w:tc>
        <w:tc>
          <w:tcPr>
            <w:tcW w:w="1134" w:type="dxa"/>
            <w:tcBorders>
              <w:top w:val="single" w:color="auto" w:sz="4" w:space="0"/>
              <w:left w:val="nil"/>
              <w:bottom w:val="single" w:color="auto" w:sz="4" w:space="0"/>
              <w:right w:val="single" w:color="auto" w:sz="4" w:space="0"/>
            </w:tcBorders>
            <w:vAlign w:val="center"/>
          </w:tcPr>
          <w:p w14:paraId="247E3B3A">
            <w:pPr>
              <w:widowControl/>
              <w:jc w:val="center"/>
              <w:rPr>
                <w:rFonts w:hint="eastAsia" w:ascii="仿宋" w:hAnsi="仿宋" w:eastAsia="仿宋" w:cs="仿宋"/>
                <w:sz w:val="32"/>
                <w:szCs w:val="32"/>
              </w:rPr>
            </w:pPr>
            <w:r>
              <w:rPr>
                <w:rFonts w:hint="eastAsia" w:ascii="仿宋" w:hAnsi="仿宋" w:eastAsia="仿宋" w:cs="仿宋"/>
                <w:sz w:val="32"/>
                <w:szCs w:val="32"/>
              </w:rPr>
              <w:t>编号</w:t>
            </w:r>
          </w:p>
        </w:tc>
        <w:tc>
          <w:tcPr>
            <w:tcW w:w="7121" w:type="dxa"/>
            <w:tcBorders>
              <w:top w:val="single" w:color="auto" w:sz="4" w:space="0"/>
              <w:left w:val="nil"/>
              <w:bottom w:val="single" w:color="auto" w:sz="4" w:space="0"/>
              <w:right w:val="single" w:color="auto" w:sz="4" w:space="0"/>
            </w:tcBorders>
            <w:vAlign w:val="center"/>
          </w:tcPr>
          <w:p w14:paraId="19B2E130">
            <w:pPr>
              <w:widowControl/>
              <w:jc w:val="center"/>
              <w:rPr>
                <w:rFonts w:hint="eastAsia" w:ascii="仿宋" w:hAnsi="仿宋" w:eastAsia="仿宋" w:cs="仿宋"/>
                <w:sz w:val="32"/>
                <w:szCs w:val="32"/>
              </w:rPr>
            </w:pPr>
            <w:r>
              <w:rPr>
                <w:rFonts w:hint="eastAsia" w:ascii="仿宋" w:hAnsi="仿宋" w:eastAsia="仿宋" w:cs="仿宋"/>
                <w:sz w:val="32"/>
                <w:szCs w:val="32"/>
              </w:rPr>
              <w:t>技术参数和要求</w:t>
            </w:r>
          </w:p>
        </w:tc>
      </w:tr>
      <w:tr w14:paraId="3766A3F1">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EE49E7">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5095C250">
            <w:pPr>
              <w:widowControl/>
              <w:jc w:val="center"/>
              <w:rPr>
                <w:rFonts w:hint="eastAsia" w:ascii="仿宋" w:hAnsi="仿宋" w:eastAsia="仿宋" w:cs="仿宋"/>
                <w:sz w:val="32"/>
                <w:szCs w:val="32"/>
              </w:rPr>
            </w:pPr>
            <w:r>
              <w:rPr>
                <w:rFonts w:hint="eastAsia" w:ascii="仿宋" w:hAnsi="仿宋" w:eastAsia="仿宋" w:cs="仿宋"/>
                <w:sz w:val="32"/>
                <w:szCs w:val="32"/>
              </w:rPr>
              <w:t>1</w:t>
            </w:r>
          </w:p>
        </w:tc>
        <w:tc>
          <w:tcPr>
            <w:tcW w:w="7121" w:type="dxa"/>
            <w:tcBorders>
              <w:top w:val="single" w:color="auto" w:sz="4" w:space="0"/>
              <w:left w:val="nil"/>
              <w:bottom w:val="single" w:color="auto" w:sz="4" w:space="0"/>
              <w:right w:val="single" w:color="auto" w:sz="4" w:space="0"/>
            </w:tcBorders>
            <w:vAlign w:val="center"/>
          </w:tcPr>
          <w:p w14:paraId="1C4C5507">
            <w:pPr>
              <w:numPr>
                <w:ilvl w:val="0"/>
                <w:numId w:val="0"/>
              </w:numPr>
              <w:jc w:val="left"/>
              <w:rPr>
                <w:rFonts w:hint="eastAsia" w:ascii="仿宋" w:hAnsi="仿宋" w:eastAsia="仿宋" w:cs="仿宋"/>
                <w:sz w:val="32"/>
                <w:szCs w:val="32"/>
                <w:lang w:val="en-US" w:eastAsia="zh-CN"/>
              </w:rPr>
            </w:pPr>
            <w:r>
              <w:rPr>
                <w:rFonts w:hint="eastAsia" w:ascii="仿宋" w:hAnsi="仿宋" w:eastAsia="仿宋" w:cs="仿宋"/>
                <w:sz w:val="32"/>
                <w:szCs w:val="32"/>
                <w:lang w:eastAsia="zh-CN"/>
              </w:rPr>
              <w:t>拆除工程：拆除</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台</w:t>
            </w:r>
            <w:r>
              <w:rPr>
                <w:rFonts w:hint="eastAsia" w:ascii="仿宋" w:hAnsi="仿宋" w:eastAsia="仿宋" w:cs="仿宋"/>
                <w:sz w:val="32"/>
                <w:szCs w:val="32"/>
                <w:lang w:val="en-US" w:eastAsia="zh-CN"/>
              </w:rPr>
              <w:t>6吨燃气蒸汽锅炉原有燃气燃烧器，属于锅炉改造，按</w:t>
            </w:r>
            <w:r>
              <w:rPr>
                <w:rFonts w:hint="eastAsia" w:ascii="仿宋" w:hAnsi="仿宋" w:eastAsia="仿宋" w:cs="仿宋"/>
                <w:kern w:val="0"/>
                <w:sz w:val="32"/>
                <w:szCs w:val="32"/>
                <w:lang w:val="en-US" w:eastAsia="zh-CN"/>
              </w:rPr>
              <w:t>《特种设备安全法》</w:t>
            </w:r>
            <w:r>
              <w:rPr>
                <w:rFonts w:hint="eastAsia" w:ascii="仿宋" w:hAnsi="仿宋" w:eastAsia="仿宋" w:cs="仿宋"/>
                <w:sz w:val="32"/>
                <w:szCs w:val="32"/>
                <w:lang w:val="en-US" w:eastAsia="zh-CN"/>
              </w:rPr>
              <w:t>需向属地特种设备检验研究院办理改造安装告知书。</w:t>
            </w:r>
          </w:p>
        </w:tc>
      </w:tr>
      <w:tr w14:paraId="4387962C">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AC2971">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22BECC8A">
            <w:pPr>
              <w:widowControl/>
              <w:jc w:val="center"/>
              <w:rPr>
                <w:rFonts w:hint="eastAsia" w:ascii="仿宋" w:hAnsi="仿宋" w:eastAsia="仿宋" w:cs="仿宋"/>
                <w:sz w:val="32"/>
                <w:szCs w:val="32"/>
              </w:rPr>
            </w:pPr>
            <w:r>
              <w:rPr>
                <w:rFonts w:hint="eastAsia" w:ascii="仿宋" w:hAnsi="仿宋" w:eastAsia="仿宋" w:cs="仿宋"/>
                <w:sz w:val="32"/>
                <w:szCs w:val="32"/>
              </w:rPr>
              <w:t>2</w:t>
            </w:r>
          </w:p>
        </w:tc>
        <w:tc>
          <w:tcPr>
            <w:tcW w:w="7121" w:type="dxa"/>
            <w:tcBorders>
              <w:top w:val="single" w:color="auto" w:sz="4" w:space="0"/>
              <w:left w:val="nil"/>
              <w:bottom w:val="single" w:color="auto" w:sz="4" w:space="0"/>
              <w:right w:val="single" w:color="auto" w:sz="4" w:space="0"/>
            </w:tcBorders>
            <w:vAlign w:val="center"/>
          </w:tcPr>
          <w:p w14:paraId="0CB9809C">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安装工程：本项目需供应商提供1台低氮燃气燃烧器适配安装到1台6吨燃气蒸汽锅炉，</w:t>
            </w:r>
            <w:r>
              <w:rPr>
                <w:rFonts w:ascii="仿宋" w:hAnsi="仿宋" w:eastAsia="仿宋" w:cs="仿宋"/>
                <w:spacing w:val="-5"/>
                <w:sz w:val="32"/>
                <w:szCs w:val="32"/>
              </w:rPr>
              <w:t>特检</w:t>
            </w:r>
            <w:r>
              <w:rPr>
                <w:rFonts w:hint="eastAsia" w:ascii="仿宋" w:hAnsi="仿宋" w:eastAsia="仿宋" w:cs="仿宋"/>
                <w:spacing w:val="-5"/>
                <w:sz w:val="32"/>
                <w:szCs w:val="32"/>
                <w:lang w:eastAsia="zh-CN"/>
              </w:rPr>
              <w:t>院</w:t>
            </w:r>
            <w:r>
              <w:rPr>
                <w:rFonts w:ascii="仿宋" w:hAnsi="仿宋" w:eastAsia="仿宋" w:cs="仿宋"/>
                <w:spacing w:val="-1"/>
                <w:sz w:val="32"/>
                <w:szCs w:val="32"/>
              </w:rPr>
              <w:t>监督检验等</w:t>
            </w:r>
            <w:r>
              <w:rPr>
                <w:rFonts w:hint="eastAsia" w:ascii="仿宋" w:hAnsi="仿宋" w:eastAsia="仿宋" w:cs="仿宋"/>
                <w:spacing w:val="-1"/>
                <w:sz w:val="32"/>
                <w:szCs w:val="32"/>
                <w:lang w:val="en-US" w:eastAsia="zh-CN"/>
              </w:rPr>
              <w:t>；</w:t>
            </w:r>
            <w:r>
              <w:rPr>
                <w:rFonts w:hint="eastAsia" w:ascii="仿宋" w:hAnsi="仿宋" w:eastAsia="仿宋" w:cs="仿宋"/>
                <w:sz w:val="32"/>
                <w:szCs w:val="32"/>
                <w:lang w:val="en-US" w:eastAsia="zh-CN"/>
              </w:rPr>
              <w:t>施工方需提供燃烧机原厂合格证、型式试验证书、型式试验报告、第三方出具的NOx≤30mg/Nm³低氮检测报告。</w:t>
            </w:r>
          </w:p>
        </w:tc>
      </w:tr>
      <w:tr w14:paraId="013FD3B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70DEE2">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402381C2">
            <w:pPr>
              <w:widowControl/>
              <w:jc w:val="center"/>
              <w:rPr>
                <w:rFonts w:hint="eastAsia" w:ascii="仿宋" w:hAnsi="仿宋" w:eastAsia="仿宋" w:cs="仿宋"/>
                <w:sz w:val="32"/>
                <w:szCs w:val="32"/>
              </w:rPr>
            </w:pPr>
            <w:r>
              <w:rPr>
                <w:rFonts w:hint="eastAsia" w:ascii="仿宋" w:hAnsi="仿宋" w:eastAsia="仿宋" w:cs="仿宋"/>
                <w:sz w:val="32"/>
                <w:szCs w:val="32"/>
              </w:rPr>
              <w:t>3</w:t>
            </w:r>
          </w:p>
        </w:tc>
        <w:tc>
          <w:tcPr>
            <w:tcW w:w="7121" w:type="dxa"/>
            <w:tcBorders>
              <w:top w:val="single" w:color="auto" w:sz="4" w:space="0"/>
              <w:left w:val="nil"/>
              <w:bottom w:val="single" w:color="auto" w:sz="4" w:space="0"/>
              <w:right w:val="single" w:color="auto" w:sz="4" w:space="0"/>
            </w:tcBorders>
            <w:vAlign w:val="center"/>
          </w:tcPr>
          <w:p w14:paraId="290069FD">
            <w:pPr>
              <w:jc w:val="left"/>
              <w:rPr>
                <w:rFonts w:hint="eastAsia" w:ascii="仿宋" w:hAnsi="仿宋" w:eastAsia="仿宋" w:cs="仿宋"/>
                <w:sz w:val="32"/>
                <w:szCs w:val="32"/>
                <w:lang w:eastAsia="zh-CN"/>
              </w:rPr>
            </w:pPr>
            <w:r>
              <w:rPr>
                <w:rFonts w:hint="eastAsia" w:ascii="仿宋" w:hAnsi="仿宋" w:eastAsia="仿宋" w:cs="仿宋"/>
                <w:sz w:val="32"/>
                <w:szCs w:val="32"/>
                <w:lang w:val="en-US" w:eastAsia="zh-CN"/>
              </w:rPr>
              <w:t>低氮燃气燃烧器技术要求</w:t>
            </w:r>
            <w:r>
              <w:rPr>
                <w:rFonts w:hint="eastAsia" w:ascii="仿宋" w:hAnsi="仿宋" w:eastAsia="仿宋" w:cs="仿宋"/>
                <w:sz w:val="32"/>
                <w:szCs w:val="32"/>
                <w:lang w:eastAsia="zh-CN"/>
              </w:rPr>
              <w:t>：</w:t>
            </w:r>
          </w:p>
          <w:p w14:paraId="547FF22E">
            <w:pPr>
              <w:jc w:val="left"/>
              <w:rPr>
                <w:rFonts w:hint="eastAsia" w:ascii="仿宋" w:hAnsi="仿宋" w:eastAsia="仿宋" w:cs="仿宋"/>
                <w:sz w:val="32"/>
                <w:szCs w:val="32"/>
                <w:lang w:val="en-US" w:eastAsia="zh-CN"/>
              </w:rPr>
            </w:pPr>
            <w:r>
              <w:rPr>
                <w:rFonts w:hint="eastAsia" w:ascii="仿宋" w:hAnsi="仿宋" w:eastAsia="仿宋" w:cs="仿宋"/>
                <w:sz w:val="32"/>
                <w:szCs w:val="32"/>
                <w:lang w:eastAsia="zh-CN"/>
              </w:rPr>
              <w:t>额定热功率：</w:t>
            </w:r>
            <w:r>
              <w:rPr>
                <w:rFonts w:hint="eastAsia" w:ascii="仿宋" w:hAnsi="仿宋" w:eastAsia="仿宋" w:cs="仿宋"/>
                <w:sz w:val="32"/>
                <w:szCs w:val="32"/>
                <w:lang w:val="en-US" w:eastAsia="zh-CN"/>
              </w:rPr>
              <w:t>4500MW/h；</w:t>
            </w:r>
          </w:p>
          <w:p w14:paraId="4F688901">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适用燃料：天然气；</w:t>
            </w:r>
          </w:p>
          <w:p w14:paraId="69708476">
            <w:pPr>
              <w:numPr>
                <w:ilvl w:val="0"/>
                <w:numId w:val="0"/>
              </w:numPr>
              <w:ind w:left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天然气流量：300-450m³/h；</w:t>
            </w:r>
          </w:p>
          <w:p w14:paraId="73E0F46D">
            <w:pPr>
              <w:numPr>
                <w:ilvl w:val="0"/>
                <w:numId w:val="0"/>
              </w:numPr>
              <w:ind w:left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输出功率：1000-4500KW/h；</w:t>
            </w:r>
          </w:p>
          <w:p w14:paraId="26539238">
            <w:pPr>
              <w:numPr>
                <w:ilvl w:val="0"/>
                <w:numId w:val="0"/>
              </w:numPr>
              <w:ind w:left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天然气压力:8-15Kpa；</w:t>
            </w:r>
          </w:p>
          <w:p w14:paraId="4F1DE75F">
            <w:pPr>
              <w:numPr>
                <w:ilvl w:val="0"/>
                <w:numId w:val="0"/>
              </w:numPr>
              <w:ind w:left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噪音等级：85≥dB(A)；</w:t>
            </w:r>
          </w:p>
          <w:p w14:paraId="5F297B8E">
            <w:pPr>
              <w:numPr>
                <w:ilvl w:val="0"/>
                <w:numId w:val="0"/>
              </w:numPr>
              <w:ind w:leftChars="0"/>
              <w:jc w:val="left"/>
              <w:rPr>
                <w:rFonts w:hint="eastAsia" w:ascii="仿宋" w:hAnsi="仿宋" w:eastAsia="仿宋" w:cs="仿宋"/>
                <w:sz w:val="32"/>
                <w:szCs w:val="32"/>
              </w:rPr>
            </w:pPr>
            <w:r>
              <w:rPr>
                <w:rFonts w:hint="eastAsia" w:ascii="仿宋" w:hAnsi="仿宋" w:eastAsia="仿宋" w:cs="仿宋"/>
                <w:sz w:val="32"/>
                <w:szCs w:val="32"/>
                <w:lang w:val="en-US" w:eastAsia="zh-CN"/>
              </w:rPr>
              <w:t>燃烧器</w:t>
            </w:r>
            <w:r>
              <w:rPr>
                <w:rFonts w:hint="eastAsia" w:ascii="仿宋" w:hAnsi="仿宋" w:eastAsia="仿宋" w:cs="仿宋"/>
                <w:sz w:val="32"/>
                <w:szCs w:val="32"/>
              </w:rPr>
              <w:t>电源：50Hz/380V</w:t>
            </w:r>
            <w:r>
              <w:rPr>
                <w:rFonts w:hint="eastAsia" w:ascii="仿宋" w:hAnsi="仿宋" w:eastAsia="仿宋" w:cs="仿宋"/>
                <w:sz w:val="32"/>
                <w:szCs w:val="32"/>
                <w:lang w:val="en-US" w:eastAsia="zh-CN"/>
              </w:rPr>
              <w:t>-400V；</w:t>
            </w:r>
          </w:p>
          <w:p w14:paraId="6630233A">
            <w:pPr>
              <w:numPr>
                <w:ilvl w:val="0"/>
                <w:numId w:val="0"/>
              </w:numPr>
              <w:ind w:left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风机电机:15KW；</w:t>
            </w:r>
          </w:p>
          <w:p w14:paraId="4AD5707A">
            <w:pPr>
              <w:numPr>
                <w:ilvl w:val="0"/>
                <w:numId w:val="0"/>
              </w:numPr>
              <w:ind w:left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调节方式：全自动电子比例连续调节，调节比不低于5:1(低负荷稳燃，不回火、不脱火、不冒黑烟)；</w:t>
            </w:r>
          </w:p>
          <w:p w14:paraId="1984F196">
            <w:pPr>
              <w:numPr>
                <w:ilvl w:val="0"/>
                <w:numId w:val="0"/>
              </w:numPr>
              <w:ind w:leftChars="0"/>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燃烧技术：分级燃烧+FGR烟气外循环超低氮技术。</w:t>
            </w:r>
          </w:p>
        </w:tc>
      </w:tr>
    </w:tbl>
    <w:p w14:paraId="2E06B128">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AE5B408">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8B6731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27DAD6D">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0DDD66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D40A66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3AEEF8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74EEF3D">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2CB6EB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4AB03F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70D263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24C9EC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6331D7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77D18A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22E8BF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8D2F45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B8F440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ECCAAE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9C322A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9BCE88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C968DB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1"/>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7AC696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5D217D8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十四、售后服务......................................................</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十五、其它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D9732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03D641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287F6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分项报价表（如有）</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1"/>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（营业执照、资质证书等复印件）</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bookmarkStart w:id="1" w:name="_GoBack"/>
      <w:bookmarkEnd w:id="1"/>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4"/>
        <w:rPr>
          <w:rFonts w:hint="eastAsia"/>
        </w:rPr>
      </w:pPr>
    </w:p>
    <w:p w14:paraId="17F60C46">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售后服务</w:t>
      </w: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十五、其它</w:t>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43B5E7C1"/>
    <w:multiLevelType w:val="singleLevel"/>
    <w:tmpl w:val="43B5E7C1"/>
    <w:lvl w:ilvl="0" w:tentative="0">
      <w:start w:val="14"/>
      <w:numFmt w:val="chineseCounting"/>
      <w:suff w:val="nothing"/>
      <w:lvlText w:val="%1、"/>
      <w:lvlJc w:val="left"/>
      <w:rPr>
        <w:rFonts w:hint="eastAsia"/>
      </w:rPr>
    </w:lvl>
  </w:abstractNum>
  <w:abstractNum w:abstractNumId="3">
    <w:nsid w:val="5C6A04CC"/>
    <w:multiLevelType w:val="singleLevel"/>
    <w:tmpl w:val="5C6A04CC"/>
    <w:lvl w:ilvl="0" w:tentative="0">
      <w:start w:val="1"/>
      <w:numFmt w:val="chineseCounting"/>
      <w:suff w:val="space"/>
      <w:lvlText w:val="第%1章"/>
      <w:lvlJc w:val="left"/>
      <w:rPr>
        <w:rFonts w:hint="eastAsia"/>
      </w:rPr>
    </w:lvl>
  </w:abstractNum>
  <w:abstractNum w:abstractNumId="4">
    <w:nsid w:val="6AA9C9E5"/>
    <w:multiLevelType w:val="singleLevel"/>
    <w:tmpl w:val="6AA9C9E5"/>
    <w:lvl w:ilvl="0" w:tentative="0">
      <w:start w:val="2"/>
      <w:numFmt w:val="chineseCounting"/>
      <w:suff w:val="nothing"/>
      <w:lvlText w:val="%1、"/>
      <w:lvlJc w:val="left"/>
      <w:rPr>
        <w:rFonts w:hint="eastAsi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B3B64C5"/>
    <w:rsid w:val="3E650D1D"/>
    <w:rsid w:val="3E9002A8"/>
    <w:rsid w:val="3F552A03"/>
    <w:rsid w:val="40A31F26"/>
    <w:rsid w:val="420B38E3"/>
    <w:rsid w:val="42E570EA"/>
    <w:rsid w:val="43B51B88"/>
    <w:rsid w:val="44AA028A"/>
    <w:rsid w:val="45376F42"/>
    <w:rsid w:val="4603606C"/>
    <w:rsid w:val="46236E29"/>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36A8F"/>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3">
    <w:name w:val="Default Paragraph Font"/>
    <w:autoRedefine/>
    <w:semiHidden/>
    <w:qFormat/>
    <w:uiPriority w:val="2"/>
  </w:style>
  <w:style w:type="table" w:default="1" w:styleId="11">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2">
    <w:name w:val="Table Grid"/>
    <w:basedOn w:val="11"/>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26"/>
    <w:pPr>
      <w:ind w:firstLine="200"/>
    </w:pPr>
    <w:rPr>
      <w:rFonts w:ascii="Times New Roman" w:hAnsi="Times New Roman" w:eastAsia="宋体" w:cs="Times New Roman"/>
      <w:sz w:val="28"/>
      <w:szCs w:val="28"/>
    </w:rPr>
  </w:style>
  <w:style w:type="character" w:customStyle="1" w:styleId="15">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6">
    <w:name w:val="font11"/>
    <w:basedOn w:val="13"/>
    <w:autoRedefine/>
    <w:qFormat/>
    <w:uiPriority w:val="0"/>
    <w:rPr>
      <w:rFonts w:hint="eastAsia" w:ascii="宋体" w:hAnsi="宋体" w:eastAsia="宋体" w:cs="宋体"/>
      <w:color w:val="000000"/>
      <w:sz w:val="24"/>
      <w:szCs w:val="24"/>
      <w:u w:val="none"/>
    </w:rPr>
  </w:style>
  <w:style w:type="character" w:customStyle="1" w:styleId="17">
    <w:name w:val="font31"/>
    <w:basedOn w:val="13"/>
    <w:autoRedefine/>
    <w:qFormat/>
    <w:uiPriority w:val="0"/>
    <w:rPr>
      <w:rFonts w:hint="eastAsia" w:ascii="宋体" w:hAnsi="宋体" w:eastAsia="宋体" w:cs="宋体"/>
      <w:color w:val="000000"/>
      <w:sz w:val="21"/>
      <w:szCs w:val="21"/>
      <w:u w:val="none"/>
    </w:rPr>
  </w:style>
  <w:style w:type="paragraph" w:customStyle="1" w:styleId="18">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19">
    <w:name w:val="font41"/>
    <w:basedOn w:val="13"/>
    <w:autoRedefine/>
    <w:qFormat/>
    <w:uiPriority w:val="0"/>
    <w:rPr>
      <w:rFonts w:ascii="Calibri" w:hAnsi="Calibri" w:cs="Calibri"/>
      <w:color w:val="000000"/>
      <w:sz w:val="28"/>
      <w:szCs w:val="28"/>
      <w:u w:val="none"/>
    </w:rPr>
  </w:style>
  <w:style w:type="character" w:customStyle="1" w:styleId="20">
    <w:name w:val="font21"/>
    <w:basedOn w:val="13"/>
    <w:autoRedefine/>
    <w:qFormat/>
    <w:uiPriority w:val="0"/>
    <w:rPr>
      <w:rFonts w:hint="eastAsia" w:ascii="宋体" w:hAnsi="宋体" w:eastAsia="宋体" w:cs="宋体"/>
      <w:color w:val="000000"/>
      <w:sz w:val="21"/>
      <w:szCs w:val="21"/>
      <w:u w:val="none"/>
    </w:rPr>
  </w:style>
  <w:style w:type="table" w:customStyle="1" w:styleId="21">
    <w:name w:val="网格型1"/>
    <w:basedOn w:val="22"/>
    <w:qFormat/>
    <w:uiPriority w:val="0"/>
    <w:pPr>
      <w:widowControl w:val="0"/>
      <w:jc w:val="both"/>
    </w:pPr>
  </w:style>
  <w:style w:type="table" w:customStyle="1" w:styleId="22">
    <w:name w:val="普通表格1"/>
    <w:semiHidden/>
    <w:qFormat/>
    <w:uiPriority w:val="0"/>
  </w:style>
  <w:style w:type="paragraph" w:customStyle="1" w:styleId="23">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4">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5">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26">
    <w:name w:val="列表段落2"/>
    <w:basedOn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42</Words>
  <Characters>47</Characters>
  <Lines>0</Lines>
  <Paragraphs>0</Paragraphs>
  <TotalTime>11</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2026-10-22T08:05:49Z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C47CE88F27B642EB8841531A87F59E97_13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