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7AC87205">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东胜部电加热蒸汽发生器项目</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2026年10月22日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3"/>
        <w:tblW w:w="100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4006"/>
        <w:gridCol w:w="910"/>
        <w:gridCol w:w="1155"/>
        <w:gridCol w:w="1545"/>
        <w:gridCol w:w="1380"/>
      </w:tblGrid>
      <w:tr w14:paraId="12CE5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4662F8F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4006" w:type="dxa"/>
            <w:vAlign w:val="center"/>
          </w:tcPr>
          <w:p w14:paraId="3B4C2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910" w:type="dxa"/>
            <w:vAlign w:val="center"/>
          </w:tcPr>
          <w:p w14:paraId="72F163F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155" w:type="dxa"/>
            <w:vAlign w:val="center"/>
          </w:tcPr>
          <w:p w14:paraId="22E1D97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545" w:type="dxa"/>
            <w:vAlign w:val="center"/>
          </w:tcPr>
          <w:p w14:paraId="43D6BD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380" w:type="dxa"/>
            <w:vAlign w:val="center"/>
          </w:tcPr>
          <w:p w14:paraId="31BF7F1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6C832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0CB4B4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4006" w:type="dxa"/>
            <w:vAlign w:val="center"/>
          </w:tcPr>
          <w:p w14:paraId="44CCDF0D">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东胜部电加热蒸汽发生器项目</w:t>
            </w:r>
          </w:p>
        </w:tc>
        <w:tc>
          <w:tcPr>
            <w:tcW w:w="910" w:type="dxa"/>
            <w:vAlign w:val="center"/>
          </w:tcPr>
          <w:p w14:paraId="7DAA7B0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台</w:t>
            </w:r>
          </w:p>
        </w:tc>
        <w:tc>
          <w:tcPr>
            <w:tcW w:w="1155" w:type="dxa"/>
            <w:vAlign w:val="center"/>
          </w:tcPr>
          <w:p w14:paraId="1967A558">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1545" w:type="dxa"/>
            <w:vAlign w:val="center"/>
          </w:tcPr>
          <w:p w14:paraId="413BDA12">
            <w:pPr>
              <w:widowControl/>
              <w:ind w:firstLine="280" w:firstLineChars="100"/>
              <w:jc w:val="both"/>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150000</w:t>
            </w:r>
          </w:p>
        </w:tc>
        <w:tc>
          <w:tcPr>
            <w:tcW w:w="1380" w:type="dxa"/>
            <w:vAlign w:val="center"/>
          </w:tcPr>
          <w:p w14:paraId="0712C338">
            <w:pPr>
              <w:widowControl/>
              <w:ind w:firstLine="280" w:firstLineChars="100"/>
              <w:jc w:val="both"/>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750000</w:t>
            </w:r>
          </w:p>
        </w:tc>
      </w:tr>
      <w:tr w14:paraId="330D3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5B0F2592">
            <w:pPr>
              <w:widowControl/>
              <w:jc w:val="center"/>
              <w:textAlignment w:val="center"/>
              <w:rPr>
                <w:rFonts w:hint="eastAsia" w:ascii="宋体" w:hAnsi="宋体" w:eastAsia="宋体" w:cs="宋体"/>
                <w:kern w:val="0"/>
                <w:sz w:val="28"/>
                <w:szCs w:val="28"/>
                <w:lang w:val="en-US" w:eastAsia="zh-CN"/>
              </w:rPr>
            </w:pPr>
          </w:p>
        </w:tc>
        <w:tc>
          <w:tcPr>
            <w:tcW w:w="6071" w:type="dxa"/>
            <w:gridSpan w:val="3"/>
            <w:vAlign w:val="center"/>
          </w:tcPr>
          <w:p w14:paraId="058D015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2925" w:type="dxa"/>
            <w:gridSpan w:val="2"/>
            <w:vAlign w:val="center"/>
          </w:tcPr>
          <w:p w14:paraId="3589BA4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750000</w:t>
            </w:r>
          </w:p>
        </w:tc>
      </w:tr>
      <w:tr w14:paraId="41856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73AC571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4006" w:type="dxa"/>
            <w:vAlign w:val="center"/>
          </w:tcPr>
          <w:p w14:paraId="3F1EC5E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4990" w:type="dxa"/>
            <w:gridSpan w:val="4"/>
            <w:vAlign w:val="center"/>
          </w:tcPr>
          <w:p w14:paraId="7F431A6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color w:val="auto"/>
                <w:kern w:val="0"/>
                <w:sz w:val="28"/>
                <w:szCs w:val="28"/>
                <w:lang w:val="en-US" w:eastAsia="zh-CN"/>
              </w:rPr>
              <w:t>合同签订后</w:t>
            </w:r>
            <w:r>
              <w:rPr>
                <w:rFonts w:hint="eastAsia" w:ascii="宋体" w:hAnsi="宋体" w:cs="宋体"/>
                <w:color w:val="auto"/>
                <w:kern w:val="0"/>
                <w:sz w:val="28"/>
                <w:szCs w:val="28"/>
                <w:lang w:val="en-US" w:eastAsia="zh-CN"/>
              </w:rPr>
              <w:t>40</w:t>
            </w:r>
            <w:r>
              <w:rPr>
                <w:rFonts w:hint="eastAsia" w:ascii="宋体" w:hAnsi="宋体" w:eastAsia="宋体" w:cs="宋体"/>
                <w:color w:val="auto"/>
                <w:kern w:val="0"/>
                <w:sz w:val="28"/>
                <w:szCs w:val="28"/>
                <w:lang w:val="en-US" w:eastAsia="zh-CN"/>
              </w:rPr>
              <w:t>日内</w:t>
            </w:r>
          </w:p>
        </w:tc>
      </w:tr>
      <w:tr w14:paraId="4CC2E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F2446C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4006" w:type="dxa"/>
            <w:vAlign w:val="center"/>
          </w:tcPr>
          <w:p w14:paraId="38F8224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4990" w:type="dxa"/>
            <w:gridSpan w:val="4"/>
            <w:vAlign w:val="center"/>
          </w:tcPr>
          <w:p w14:paraId="4B937BF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37B2F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4F14453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4006" w:type="dxa"/>
            <w:vAlign w:val="center"/>
          </w:tcPr>
          <w:p w14:paraId="68AD1D5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4990" w:type="dxa"/>
            <w:gridSpan w:val="4"/>
            <w:vAlign w:val="center"/>
          </w:tcPr>
          <w:p w14:paraId="5E0E934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color w:val="auto"/>
                <w:kern w:val="0"/>
                <w:sz w:val="28"/>
                <w:szCs w:val="28"/>
                <w:lang w:val="en-US" w:eastAsia="zh-CN"/>
              </w:rPr>
              <w:t>货到验收合格后一次性付清</w:t>
            </w:r>
          </w:p>
        </w:tc>
      </w:tr>
      <w:tr w14:paraId="7CB1C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4B786AA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4006" w:type="dxa"/>
            <w:vAlign w:val="center"/>
          </w:tcPr>
          <w:p w14:paraId="02774FA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4990" w:type="dxa"/>
            <w:gridSpan w:val="4"/>
            <w:vAlign w:val="center"/>
          </w:tcPr>
          <w:p w14:paraId="6AA6637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w:t>
            </w:r>
          </w:p>
        </w:tc>
      </w:tr>
      <w:tr w14:paraId="21F2A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3079CCD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8996" w:type="dxa"/>
            <w:gridSpan w:val="5"/>
            <w:vAlign w:val="center"/>
          </w:tcPr>
          <w:p w14:paraId="7DDBBC8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color w:val="auto"/>
                <w:kern w:val="0"/>
                <w:sz w:val="28"/>
                <w:szCs w:val="28"/>
                <w:lang w:val="en-US" w:eastAsia="zh-CN"/>
              </w:rPr>
              <w:t>本项目预算包含电缆、蒸汽管道等全部安装费用</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4C773A18">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7BC86FB2">
      <w:pPr>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1</w:t>
      </w:r>
      <w:r>
        <w:rPr>
          <w:rFonts w:hint="eastAsia" w:ascii="宋体" w:hAnsi="宋体" w:eastAsia="宋体" w:cs="宋体"/>
          <w:sz w:val="28"/>
          <w:szCs w:val="28"/>
          <w:lang w:eastAsia="zh-CN"/>
        </w:rPr>
        <w:t>）</w:t>
      </w:r>
      <w:r>
        <w:rPr>
          <w:rFonts w:hint="eastAsia" w:ascii="宋体" w:hAnsi="宋体" w:eastAsia="宋体" w:cs="宋体"/>
          <w:sz w:val="28"/>
          <w:szCs w:val="28"/>
        </w:rPr>
        <w:t xml:space="preserve">项目基本情况介绍： </w:t>
      </w:r>
    </w:p>
    <w:p w14:paraId="0CBE0B66">
      <w:pPr>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东胜部供应室灭菌机、清洗机，物业地巾清洗机均需要使用电加热蒸汽发生器，现采购电加热蒸汽发生器5台。</w:t>
      </w:r>
    </w:p>
    <w:p w14:paraId="28E11921">
      <w:pPr>
        <w:numPr>
          <w:ilvl w:val="0"/>
          <w:numId w:val="3"/>
        </w:numPr>
        <w:spacing w:line="360" w:lineRule="auto"/>
        <w:jc w:val="left"/>
        <w:rPr>
          <w:rFonts w:hint="eastAsia" w:ascii="宋体" w:hAnsi="宋体" w:eastAsia="宋体" w:cs="宋体"/>
          <w:sz w:val="28"/>
          <w:szCs w:val="28"/>
        </w:rPr>
      </w:pPr>
      <w:r>
        <w:rPr>
          <w:rFonts w:hint="eastAsia" w:ascii="宋体" w:hAnsi="宋体" w:eastAsia="宋体" w:cs="宋体"/>
          <w:sz w:val="28"/>
          <w:szCs w:val="28"/>
        </w:rPr>
        <w:t>技术参数和要求（功能和质量）</w:t>
      </w:r>
    </w:p>
    <w:p w14:paraId="58E30A3E">
      <w:pPr>
        <w:numPr>
          <w:ilvl w:val="0"/>
          <w:numId w:val="0"/>
        </w:numPr>
        <w:spacing w:line="360" w:lineRule="auto"/>
        <w:jc w:val="left"/>
        <w:rPr>
          <w:rFonts w:hint="eastAsia" w:ascii="宋体" w:hAnsi="宋体" w:eastAsia="宋体" w:cs="宋体"/>
          <w:sz w:val="28"/>
          <w:szCs w:val="28"/>
        </w:rPr>
      </w:pPr>
    </w:p>
    <w:tbl>
      <w:tblPr>
        <w:tblStyle w:val="12"/>
        <w:tblW w:w="10016" w:type="dxa"/>
        <w:tblInd w:w="-527" w:type="dxa"/>
        <w:tblLayout w:type="fixed"/>
        <w:tblCellMar>
          <w:top w:w="0" w:type="dxa"/>
          <w:left w:w="108" w:type="dxa"/>
          <w:bottom w:w="0" w:type="dxa"/>
          <w:right w:w="108" w:type="dxa"/>
        </w:tblCellMar>
      </w:tblPr>
      <w:tblGrid>
        <w:gridCol w:w="1440"/>
        <w:gridCol w:w="852"/>
        <w:gridCol w:w="7724"/>
      </w:tblGrid>
      <w:tr w14:paraId="4EEF46F0">
        <w:tblPrEx>
          <w:tblCellMar>
            <w:top w:w="0" w:type="dxa"/>
            <w:left w:w="108" w:type="dxa"/>
            <w:bottom w:w="0" w:type="dxa"/>
            <w:right w:w="108" w:type="dxa"/>
          </w:tblCellMar>
        </w:tblPrEx>
        <w:trPr>
          <w:trHeight w:val="730" w:hRule="atLeast"/>
        </w:trPr>
        <w:tc>
          <w:tcPr>
            <w:tcW w:w="1440" w:type="dxa"/>
            <w:tcBorders>
              <w:top w:val="single" w:color="auto" w:sz="4" w:space="0"/>
              <w:left w:val="single" w:color="auto" w:sz="4" w:space="0"/>
              <w:bottom w:val="single" w:color="auto" w:sz="4" w:space="0"/>
              <w:right w:val="single" w:color="auto" w:sz="4" w:space="0"/>
            </w:tcBorders>
            <w:vAlign w:val="center"/>
          </w:tcPr>
          <w:p w14:paraId="0A8795B2">
            <w:pPr>
              <w:widowControl/>
              <w:jc w:val="center"/>
              <w:rPr>
                <w:rFonts w:hint="eastAsia" w:ascii="宋体" w:hAnsi="宋体" w:eastAsia="宋体" w:cs="宋体"/>
                <w:color w:val="auto"/>
                <w:sz w:val="24"/>
                <w:szCs w:val="24"/>
              </w:rPr>
            </w:pPr>
            <w:r>
              <w:rPr>
                <w:rFonts w:hint="eastAsia" w:ascii="宋体" w:hAnsi="宋体" w:eastAsia="宋体" w:cs="宋体"/>
                <w:color w:val="auto"/>
                <w:sz w:val="24"/>
                <w:szCs w:val="24"/>
              </w:rPr>
              <w:t>参数性质</w:t>
            </w:r>
          </w:p>
        </w:tc>
        <w:tc>
          <w:tcPr>
            <w:tcW w:w="852" w:type="dxa"/>
            <w:tcBorders>
              <w:top w:val="single" w:color="auto" w:sz="4" w:space="0"/>
              <w:left w:val="nil"/>
              <w:bottom w:val="single" w:color="auto" w:sz="4" w:space="0"/>
              <w:right w:val="single" w:color="auto" w:sz="4" w:space="0"/>
            </w:tcBorders>
            <w:vAlign w:val="center"/>
          </w:tcPr>
          <w:p w14:paraId="78CDC037">
            <w:pPr>
              <w:widowControl/>
              <w:jc w:val="center"/>
              <w:rPr>
                <w:rFonts w:hint="eastAsia" w:ascii="宋体" w:hAnsi="宋体" w:eastAsia="宋体" w:cs="宋体"/>
                <w:color w:val="auto"/>
                <w:sz w:val="24"/>
                <w:szCs w:val="24"/>
              </w:rPr>
            </w:pPr>
            <w:r>
              <w:rPr>
                <w:rFonts w:hint="eastAsia" w:ascii="宋体" w:hAnsi="宋体" w:eastAsia="宋体" w:cs="宋体"/>
                <w:color w:val="auto"/>
                <w:sz w:val="24"/>
                <w:szCs w:val="24"/>
              </w:rPr>
              <w:t>编号</w:t>
            </w:r>
          </w:p>
        </w:tc>
        <w:tc>
          <w:tcPr>
            <w:tcW w:w="7724" w:type="dxa"/>
            <w:tcBorders>
              <w:top w:val="single" w:color="auto" w:sz="4" w:space="0"/>
              <w:left w:val="nil"/>
              <w:bottom w:val="single" w:color="auto" w:sz="4" w:space="0"/>
              <w:right w:val="single" w:color="auto" w:sz="4" w:space="0"/>
            </w:tcBorders>
            <w:vAlign w:val="center"/>
          </w:tcPr>
          <w:p w14:paraId="7C221A54">
            <w:pPr>
              <w:widowControl/>
              <w:jc w:val="center"/>
              <w:rPr>
                <w:rFonts w:hint="eastAsia" w:ascii="宋体" w:hAnsi="宋体" w:eastAsia="宋体" w:cs="宋体"/>
                <w:color w:val="auto"/>
                <w:sz w:val="24"/>
                <w:szCs w:val="24"/>
              </w:rPr>
            </w:pPr>
            <w:r>
              <w:rPr>
                <w:rFonts w:hint="eastAsia" w:ascii="宋体" w:hAnsi="宋体" w:eastAsia="宋体" w:cs="宋体"/>
                <w:color w:val="auto"/>
                <w:sz w:val="24"/>
                <w:szCs w:val="24"/>
              </w:rPr>
              <w:t>技术参数和性能指标</w:t>
            </w:r>
          </w:p>
        </w:tc>
      </w:tr>
      <w:tr w14:paraId="43BD7EE8">
        <w:tblPrEx>
          <w:tblCellMar>
            <w:top w:w="0" w:type="dxa"/>
            <w:left w:w="108" w:type="dxa"/>
            <w:bottom w:w="0" w:type="dxa"/>
            <w:right w:w="108" w:type="dxa"/>
          </w:tblCellMar>
        </w:tblPrEx>
        <w:trPr>
          <w:trHeight w:val="804" w:hRule="atLeast"/>
        </w:trPr>
        <w:tc>
          <w:tcPr>
            <w:tcW w:w="1440" w:type="dxa"/>
            <w:tcBorders>
              <w:top w:val="single" w:color="auto" w:sz="4" w:space="0"/>
              <w:left w:val="single" w:color="auto" w:sz="4" w:space="0"/>
              <w:bottom w:val="single" w:color="auto" w:sz="4" w:space="0"/>
              <w:right w:val="single" w:color="auto" w:sz="4" w:space="0"/>
            </w:tcBorders>
            <w:vAlign w:val="center"/>
          </w:tcPr>
          <w:p w14:paraId="70EC0DA2">
            <w:pPr>
              <w:widowControl/>
              <w:ind w:left="420" w:hanging="420"/>
              <w:jc w:val="center"/>
              <w:rPr>
                <w:rFonts w:hint="eastAsia" w:ascii="宋体" w:hAnsi="宋体" w:eastAsia="宋体" w:cs="宋体"/>
                <w:color w:val="auto"/>
                <w:sz w:val="24"/>
                <w:szCs w:val="24"/>
                <w:highlight w:val="red"/>
                <w:lang w:bidi="lo-LA"/>
              </w:rPr>
            </w:pPr>
          </w:p>
        </w:tc>
        <w:tc>
          <w:tcPr>
            <w:tcW w:w="852" w:type="dxa"/>
            <w:tcBorders>
              <w:top w:val="single" w:color="auto" w:sz="4" w:space="0"/>
              <w:left w:val="nil"/>
              <w:bottom w:val="single" w:color="auto" w:sz="4" w:space="0"/>
              <w:right w:val="single" w:color="auto" w:sz="4" w:space="0"/>
            </w:tcBorders>
            <w:vAlign w:val="center"/>
          </w:tcPr>
          <w:p w14:paraId="2DDD99ED">
            <w:pPr>
              <w:pStyle w:val="15"/>
              <w:widowControl/>
              <w:ind w:firstLine="0" w:firstLineChars="0"/>
              <w:jc w:val="center"/>
              <w:rPr>
                <w:rFonts w:hint="eastAsia" w:ascii="宋体" w:hAnsi="宋体" w:eastAsia="宋体" w:cs="宋体"/>
                <w:color w:val="auto"/>
                <w:kern w:val="0"/>
                <w:sz w:val="24"/>
                <w:szCs w:val="24"/>
                <w:highlight w:val="none"/>
                <w:lang w:bidi="lo-LA"/>
              </w:rPr>
            </w:pPr>
            <w:r>
              <w:rPr>
                <w:rFonts w:hint="eastAsia" w:ascii="宋体" w:hAnsi="宋体" w:eastAsia="宋体" w:cs="宋体"/>
                <w:color w:val="auto"/>
                <w:kern w:val="0"/>
                <w:sz w:val="24"/>
                <w:szCs w:val="24"/>
                <w:highlight w:val="none"/>
                <w:lang w:bidi="lo-LA"/>
              </w:rPr>
              <w:t>1</w:t>
            </w:r>
          </w:p>
        </w:tc>
        <w:tc>
          <w:tcPr>
            <w:tcW w:w="7724" w:type="dxa"/>
            <w:tcBorders>
              <w:top w:val="single" w:color="auto" w:sz="4" w:space="0"/>
              <w:left w:val="nil"/>
              <w:bottom w:val="single" w:color="auto" w:sz="4" w:space="0"/>
              <w:right w:val="single" w:color="auto" w:sz="4" w:space="0"/>
            </w:tcBorders>
            <w:vAlign w:val="center"/>
          </w:tcPr>
          <w:p w14:paraId="2AAF7A1C">
            <w:pPr>
              <w:pStyle w:val="15"/>
              <w:numPr>
                <w:ilvl w:val="0"/>
                <w:numId w:val="0"/>
              </w:numPr>
              <w:ind w:leftChars="0"/>
              <w:rPr>
                <w:rFonts w:hint="default" w:ascii="宋体" w:hAnsi="宋体" w:eastAsia="宋体" w:cs="宋体"/>
                <w:b w:val="0"/>
                <w:bCs w:val="0"/>
                <w:color w:val="auto"/>
                <w:sz w:val="24"/>
                <w:szCs w:val="24"/>
                <w:highlight w:val="none"/>
                <w:lang w:val="en-US" w:eastAsia="zh-CN"/>
              </w:rPr>
            </w:pPr>
            <w:r>
              <w:rPr>
                <w:rFonts w:hint="eastAsia"/>
                <w:color w:val="auto"/>
                <w:sz w:val="28"/>
                <w:szCs w:val="28"/>
                <w:highlight w:val="none"/>
                <w:lang w:val="en-US" w:eastAsia="zh-CN"/>
              </w:rPr>
              <w:t>电缆要求：ZC-YJV3*70+1*35</w:t>
            </w:r>
          </w:p>
        </w:tc>
      </w:tr>
      <w:tr w14:paraId="5C3ACA10">
        <w:tblPrEx>
          <w:tblCellMar>
            <w:top w:w="0" w:type="dxa"/>
            <w:left w:w="108" w:type="dxa"/>
            <w:bottom w:w="0" w:type="dxa"/>
            <w:right w:w="108" w:type="dxa"/>
          </w:tblCellMar>
        </w:tblPrEx>
        <w:trPr>
          <w:trHeight w:val="676" w:hRule="atLeast"/>
        </w:trPr>
        <w:tc>
          <w:tcPr>
            <w:tcW w:w="1440" w:type="dxa"/>
            <w:tcBorders>
              <w:top w:val="single" w:color="auto" w:sz="4" w:space="0"/>
              <w:left w:val="single" w:color="auto" w:sz="4" w:space="0"/>
              <w:bottom w:val="single" w:color="auto" w:sz="4" w:space="0"/>
              <w:right w:val="single" w:color="auto" w:sz="4" w:space="0"/>
            </w:tcBorders>
            <w:vAlign w:val="center"/>
          </w:tcPr>
          <w:p w14:paraId="3EA54079">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2AFE1C50">
            <w:pPr>
              <w:pStyle w:val="15"/>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2</w:t>
            </w:r>
          </w:p>
        </w:tc>
        <w:tc>
          <w:tcPr>
            <w:tcW w:w="7724" w:type="dxa"/>
            <w:tcBorders>
              <w:top w:val="single" w:color="auto" w:sz="4" w:space="0"/>
              <w:left w:val="nil"/>
              <w:bottom w:val="single" w:color="auto" w:sz="4" w:space="0"/>
              <w:right w:val="single" w:color="auto" w:sz="4" w:space="0"/>
            </w:tcBorders>
            <w:vAlign w:val="center"/>
          </w:tcPr>
          <w:p w14:paraId="4EA1E154">
            <w:pPr>
              <w:pStyle w:val="15"/>
              <w:numPr>
                <w:ilvl w:val="0"/>
                <w:numId w:val="0"/>
              </w:numPr>
              <w:ind w:leftChars="0"/>
              <w:rPr>
                <w:rFonts w:hint="eastAsia" w:ascii="宋体" w:hAnsi="宋体" w:eastAsia="宋体" w:cs="宋体"/>
                <w:b w:val="0"/>
                <w:bCs w:val="0"/>
                <w:color w:val="auto"/>
                <w:kern w:val="2"/>
                <w:sz w:val="24"/>
                <w:szCs w:val="24"/>
                <w:lang w:val="en-US" w:eastAsia="zh-CN" w:bidi="ar-SA"/>
              </w:rPr>
            </w:pPr>
            <w:r>
              <w:rPr>
                <w:rFonts w:hint="eastAsia"/>
                <w:color w:val="auto"/>
                <w:sz w:val="28"/>
                <w:szCs w:val="28"/>
                <w:lang w:eastAsia="zh-CN"/>
              </w:rPr>
              <w:t>满</w:t>
            </w:r>
            <w:r>
              <w:rPr>
                <w:rFonts w:hint="eastAsia"/>
                <w:color w:val="auto"/>
                <w:sz w:val="28"/>
                <w:szCs w:val="28"/>
              </w:rPr>
              <w:t>水量</w:t>
            </w:r>
            <w:r>
              <w:rPr>
                <w:color w:val="auto"/>
                <w:sz w:val="28"/>
                <w:szCs w:val="28"/>
              </w:rPr>
              <w:t>：</w:t>
            </w:r>
            <w:r>
              <w:rPr>
                <w:rFonts w:hint="eastAsia"/>
                <w:color w:val="auto"/>
                <w:szCs w:val="24"/>
                <w:lang w:val="en-US" w:eastAsia="zh-CN"/>
              </w:rPr>
              <w:t>＜30</w:t>
            </w:r>
            <w:r>
              <w:rPr>
                <w:rFonts w:hint="eastAsia"/>
                <w:color w:val="auto"/>
                <w:szCs w:val="24"/>
              </w:rPr>
              <w:t>L</w:t>
            </w:r>
            <w:r>
              <w:rPr>
                <w:rFonts w:hint="eastAsia"/>
                <w:color w:val="auto"/>
                <w:sz w:val="28"/>
                <w:szCs w:val="28"/>
              </w:rPr>
              <w:t>.</w:t>
            </w:r>
          </w:p>
        </w:tc>
      </w:tr>
      <w:tr w14:paraId="28B5EEF8">
        <w:tblPrEx>
          <w:tblCellMar>
            <w:top w:w="0" w:type="dxa"/>
            <w:left w:w="108" w:type="dxa"/>
            <w:bottom w:w="0" w:type="dxa"/>
            <w:right w:w="108" w:type="dxa"/>
          </w:tblCellMar>
        </w:tblPrEx>
        <w:trPr>
          <w:trHeight w:val="775" w:hRule="atLeast"/>
        </w:trPr>
        <w:tc>
          <w:tcPr>
            <w:tcW w:w="1440" w:type="dxa"/>
            <w:tcBorders>
              <w:top w:val="single" w:color="auto" w:sz="4" w:space="0"/>
              <w:left w:val="single" w:color="auto" w:sz="4" w:space="0"/>
              <w:bottom w:val="single" w:color="auto" w:sz="4" w:space="0"/>
              <w:right w:val="single" w:color="auto" w:sz="4" w:space="0"/>
            </w:tcBorders>
            <w:vAlign w:val="center"/>
          </w:tcPr>
          <w:p w14:paraId="1F39A1D8">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1B22BBE6">
            <w:pPr>
              <w:pStyle w:val="15"/>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3</w:t>
            </w:r>
          </w:p>
        </w:tc>
        <w:tc>
          <w:tcPr>
            <w:tcW w:w="7724" w:type="dxa"/>
            <w:tcBorders>
              <w:top w:val="single" w:color="auto" w:sz="4" w:space="0"/>
              <w:left w:val="nil"/>
              <w:bottom w:val="single" w:color="auto" w:sz="4" w:space="0"/>
              <w:right w:val="single" w:color="auto" w:sz="4" w:space="0"/>
            </w:tcBorders>
            <w:shd w:val="clear" w:color="auto" w:fill="auto"/>
            <w:vAlign w:val="center"/>
          </w:tcPr>
          <w:p w14:paraId="7015A199">
            <w:pPr>
              <w:pStyle w:val="15"/>
              <w:numPr>
                <w:ilvl w:val="0"/>
                <w:numId w:val="0"/>
              </w:numPr>
              <w:ind w:left="0" w:leftChars="0" w:firstLine="0" w:firstLineChars="0"/>
              <w:rPr>
                <w:rFonts w:hint="eastAsia"/>
                <w:color w:val="auto"/>
                <w:sz w:val="28"/>
                <w:szCs w:val="28"/>
              </w:rPr>
            </w:pPr>
            <w:r>
              <w:rPr>
                <w:rFonts w:hint="eastAsia"/>
                <w:color w:val="auto"/>
                <w:sz w:val="28"/>
                <w:szCs w:val="28"/>
              </w:rPr>
              <w:t>设备</w:t>
            </w:r>
            <w:r>
              <w:rPr>
                <w:color w:val="auto"/>
                <w:sz w:val="28"/>
                <w:szCs w:val="28"/>
              </w:rPr>
              <w:t>电功率：</w:t>
            </w:r>
            <w:r>
              <w:rPr>
                <w:rFonts w:hint="eastAsia"/>
                <w:color w:val="auto"/>
                <w:sz w:val="28"/>
                <w:szCs w:val="28"/>
                <w:lang w:eastAsia="zh-CN"/>
              </w:rPr>
              <w:t>≤</w:t>
            </w:r>
            <w:r>
              <w:rPr>
                <w:rFonts w:hint="eastAsia"/>
                <w:color w:val="auto"/>
                <w:sz w:val="28"/>
                <w:szCs w:val="28"/>
              </w:rPr>
              <w:t>9</w:t>
            </w:r>
            <w:r>
              <w:rPr>
                <w:rFonts w:hint="eastAsia"/>
                <w:color w:val="auto"/>
                <w:sz w:val="28"/>
                <w:szCs w:val="28"/>
                <w:lang w:val="en-US" w:eastAsia="zh-CN"/>
              </w:rPr>
              <w:t>7</w:t>
            </w:r>
            <w:r>
              <w:rPr>
                <w:rFonts w:hint="eastAsia"/>
                <w:color w:val="auto"/>
                <w:sz w:val="28"/>
                <w:szCs w:val="28"/>
              </w:rPr>
              <w:t>KW</w:t>
            </w:r>
          </w:p>
          <w:p w14:paraId="368D88B6">
            <w:pPr>
              <w:pStyle w:val="15"/>
              <w:numPr>
                <w:ilvl w:val="0"/>
                <w:numId w:val="0"/>
              </w:numPr>
              <w:ind w:left="0" w:leftChars="0" w:firstLine="0" w:firstLineChars="0"/>
              <w:rPr>
                <w:rFonts w:hint="eastAsia" w:ascii="Times New Roman" w:hAnsi="Times New Roman" w:eastAsia="宋体" w:cs="Times New Roman"/>
                <w:color w:val="auto"/>
                <w:kern w:val="2"/>
                <w:sz w:val="28"/>
                <w:szCs w:val="28"/>
                <w:lang w:val="en-US" w:eastAsia="zh-CN" w:bidi="ar-SA"/>
              </w:rPr>
            </w:pPr>
            <w:r>
              <w:rPr>
                <w:rFonts w:hint="eastAsia"/>
                <w:color w:val="auto"/>
                <w:sz w:val="28"/>
                <w:szCs w:val="28"/>
              </w:rPr>
              <w:t>额定</w:t>
            </w:r>
            <w:r>
              <w:rPr>
                <w:color w:val="auto"/>
                <w:sz w:val="28"/>
                <w:szCs w:val="28"/>
              </w:rPr>
              <w:t>蒸发量：</w:t>
            </w:r>
            <w:r>
              <w:rPr>
                <w:rFonts w:hint="eastAsia"/>
                <w:color w:val="auto"/>
                <w:sz w:val="28"/>
                <w:szCs w:val="28"/>
                <w:lang w:val="en-US" w:eastAsia="zh-CN"/>
              </w:rPr>
              <w:t>≥</w:t>
            </w:r>
            <w:r>
              <w:rPr>
                <w:rFonts w:hint="eastAsia"/>
                <w:color w:val="auto"/>
                <w:sz w:val="28"/>
                <w:szCs w:val="28"/>
              </w:rPr>
              <w:t>125kg/H</w:t>
            </w:r>
          </w:p>
        </w:tc>
      </w:tr>
      <w:tr w14:paraId="7B6AB038">
        <w:tblPrEx>
          <w:tblCellMar>
            <w:top w:w="0" w:type="dxa"/>
            <w:left w:w="108" w:type="dxa"/>
            <w:bottom w:w="0" w:type="dxa"/>
            <w:right w:w="108" w:type="dxa"/>
          </w:tblCellMar>
        </w:tblPrEx>
        <w:trPr>
          <w:trHeight w:val="1535" w:hRule="atLeast"/>
        </w:trPr>
        <w:tc>
          <w:tcPr>
            <w:tcW w:w="1440" w:type="dxa"/>
            <w:tcBorders>
              <w:top w:val="single" w:color="auto" w:sz="4" w:space="0"/>
              <w:left w:val="single" w:color="auto" w:sz="4" w:space="0"/>
              <w:bottom w:val="single" w:color="auto" w:sz="4" w:space="0"/>
              <w:right w:val="single" w:color="auto" w:sz="4" w:space="0"/>
            </w:tcBorders>
            <w:vAlign w:val="center"/>
          </w:tcPr>
          <w:p w14:paraId="3902DBBB">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531E373D">
            <w:pPr>
              <w:pStyle w:val="15"/>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4</w:t>
            </w:r>
          </w:p>
        </w:tc>
        <w:tc>
          <w:tcPr>
            <w:tcW w:w="7724" w:type="dxa"/>
            <w:tcBorders>
              <w:top w:val="single" w:color="auto" w:sz="4" w:space="0"/>
              <w:left w:val="nil"/>
              <w:bottom w:val="single" w:color="auto" w:sz="4" w:space="0"/>
              <w:right w:val="single" w:color="auto" w:sz="4" w:space="0"/>
            </w:tcBorders>
            <w:shd w:val="clear" w:color="auto" w:fill="auto"/>
            <w:vAlign w:val="center"/>
          </w:tcPr>
          <w:p w14:paraId="1CEE1C97">
            <w:pPr>
              <w:pStyle w:val="15"/>
              <w:numPr>
                <w:ilvl w:val="0"/>
                <w:numId w:val="4"/>
              </w:numPr>
              <w:ind w:firstLineChars="0"/>
              <w:rPr>
                <w:rFonts w:hint="eastAsia"/>
                <w:color w:val="auto"/>
                <w:sz w:val="28"/>
                <w:szCs w:val="28"/>
              </w:rPr>
            </w:pPr>
            <w:r>
              <w:rPr>
                <w:rFonts w:hint="eastAsia"/>
                <w:color w:val="auto"/>
                <w:sz w:val="28"/>
                <w:szCs w:val="28"/>
              </w:rPr>
              <w:t>外形</w:t>
            </w:r>
            <w:r>
              <w:rPr>
                <w:color w:val="auto"/>
                <w:sz w:val="28"/>
                <w:szCs w:val="28"/>
              </w:rPr>
              <w:t>尺寸</w:t>
            </w:r>
            <w:r>
              <w:rPr>
                <w:rFonts w:hint="eastAsia"/>
                <w:color w:val="auto"/>
                <w:sz w:val="28"/>
                <w:szCs w:val="28"/>
              </w:rPr>
              <w:t>:</w:t>
            </w:r>
            <w:r>
              <w:rPr>
                <w:rFonts w:hint="eastAsia"/>
                <w:color w:val="auto"/>
                <w:sz w:val="28"/>
                <w:szCs w:val="28"/>
                <w:lang w:eastAsia="zh-CN"/>
              </w:rPr>
              <w:t>≤</w:t>
            </w:r>
            <w:r>
              <w:rPr>
                <w:rFonts w:hint="eastAsia"/>
                <w:color w:val="auto"/>
                <w:sz w:val="28"/>
                <w:szCs w:val="28"/>
              </w:rPr>
              <w:t>8</w:t>
            </w:r>
            <w:r>
              <w:rPr>
                <w:rFonts w:hint="eastAsia"/>
                <w:color w:val="auto"/>
                <w:sz w:val="28"/>
                <w:szCs w:val="28"/>
                <w:lang w:val="en-US" w:eastAsia="zh-CN"/>
              </w:rPr>
              <w:t>20</w:t>
            </w:r>
            <m:oMath>
              <m:r>
                <m:rPr>
                  <m:sty m:val="p"/>
                </m:rPr>
                <w:rPr>
                  <w:rFonts w:hint="eastAsia" w:ascii="Times New Roman" w:hAnsi="Times New Roman"/>
                  <w:color w:val="auto"/>
                  <w:sz w:val="28"/>
                  <w:szCs w:val="28"/>
                </w:rPr>
                <m:t>×</m:t>
              </m:r>
            </m:oMath>
            <w:r>
              <w:rPr>
                <w:rFonts w:hint="eastAsia"/>
                <w:color w:val="auto"/>
                <w:sz w:val="28"/>
                <w:szCs w:val="28"/>
              </w:rPr>
              <w:t>1300</w:t>
            </w:r>
            <m:oMath>
              <m:r>
                <m:rPr>
                  <m:sty m:val="p"/>
                </m:rPr>
                <w:rPr>
                  <w:rFonts w:hint="eastAsia" w:ascii="Times New Roman" w:hAnsi="Times New Roman"/>
                  <w:color w:val="auto"/>
                  <w:sz w:val="28"/>
                  <w:szCs w:val="28"/>
                </w:rPr>
                <m:t>×</m:t>
              </m:r>
            </m:oMath>
            <w:r>
              <w:rPr>
                <w:rFonts w:hint="eastAsia"/>
                <w:color w:val="auto"/>
                <w:sz w:val="28"/>
                <w:szCs w:val="28"/>
                <w:lang w:val="en-US" w:eastAsia="zh-CN"/>
              </w:rPr>
              <w:t>2000</w:t>
            </w:r>
            <w:r>
              <w:rPr>
                <w:rFonts w:hint="eastAsia"/>
                <w:color w:val="auto"/>
                <w:sz w:val="28"/>
                <w:szCs w:val="28"/>
              </w:rPr>
              <w:t>(W</w:t>
            </w:r>
            <w:r>
              <w:rPr>
                <w:rFonts w:hint="eastAsia"/>
                <w:color w:val="auto"/>
                <w:sz w:val="28"/>
                <w:szCs w:val="28"/>
                <w:lang w:val="en-US" w:eastAsia="zh-CN"/>
              </w:rPr>
              <w:t>*</w:t>
            </w:r>
            <w:r>
              <w:rPr>
                <w:rFonts w:hint="eastAsia"/>
                <w:color w:val="auto"/>
                <w:sz w:val="28"/>
                <w:szCs w:val="28"/>
              </w:rPr>
              <w:t>D</w:t>
            </w:r>
            <w:r>
              <w:rPr>
                <w:rFonts w:hint="eastAsia"/>
                <w:color w:val="auto"/>
                <w:sz w:val="28"/>
                <w:szCs w:val="28"/>
                <w:lang w:val="en-US" w:eastAsia="zh-CN"/>
              </w:rPr>
              <w:t>*</w:t>
            </w:r>
            <w:r>
              <w:rPr>
                <w:rFonts w:hint="eastAsia"/>
                <w:color w:val="auto"/>
                <w:sz w:val="28"/>
                <w:szCs w:val="28"/>
              </w:rPr>
              <w:t>Hmm)</w:t>
            </w:r>
          </w:p>
          <w:p w14:paraId="2E3E0556">
            <w:pPr>
              <w:pStyle w:val="15"/>
              <w:numPr>
                <w:ilvl w:val="0"/>
                <w:numId w:val="4"/>
              </w:numPr>
              <w:ind w:left="360" w:leftChars="0" w:hanging="360" w:firstLineChars="0"/>
              <w:rPr>
                <w:rFonts w:hint="default" w:ascii="宋体" w:hAnsi="宋体" w:eastAsia="宋体" w:cs="宋体"/>
                <w:b w:val="0"/>
                <w:bCs w:val="0"/>
                <w:color w:val="auto"/>
                <w:kern w:val="2"/>
                <w:sz w:val="24"/>
                <w:szCs w:val="24"/>
                <w:lang w:val="en-US" w:eastAsia="zh-CN" w:bidi="ar-SA"/>
              </w:rPr>
            </w:pPr>
            <w:r>
              <w:rPr>
                <w:rFonts w:hint="eastAsia"/>
                <w:color w:val="auto"/>
                <w:sz w:val="28"/>
                <w:szCs w:val="28"/>
              </w:rPr>
              <w:t>重量</w:t>
            </w:r>
            <w:r>
              <w:rPr>
                <w:color w:val="auto"/>
                <w:sz w:val="28"/>
                <w:szCs w:val="28"/>
              </w:rPr>
              <w:t>：</w:t>
            </w:r>
            <w:r>
              <w:rPr>
                <w:rFonts w:hint="eastAsia"/>
                <w:color w:val="auto"/>
                <w:sz w:val="28"/>
                <w:szCs w:val="28"/>
                <w:lang w:eastAsia="zh-CN"/>
              </w:rPr>
              <w:t>≤</w:t>
            </w:r>
            <w:r>
              <w:rPr>
                <w:rFonts w:hint="eastAsia"/>
                <w:color w:val="auto"/>
                <w:sz w:val="28"/>
                <w:szCs w:val="28"/>
              </w:rPr>
              <w:t>3</w:t>
            </w:r>
            <w:r>
              <w:rPr>
                <w:rFonts w:hint="eastAsia"/>
                <w:color w:val="auto"/>
                <w:sz w:val="28"/>
                <w:szCs w:val="28"/>
                <w:lang w:val="en-US" w:eastAsia="zh-CN"/>
              </w:rPr>
              <w:t>80</w:t>
            </w:r>
            <m:oMath>
              <m:r>
                <m:rPr>
                  <m:sty m:val="p"/>
                </m:rPr>
                <w:rPr>
                  <w:rFonts w:hint="eastAsia" w:ascii="Times New Roman" w:hAnsi="Times New Roman"/>
                  <w:color w:val="auto"/>
                  <w:sz w:val="28"/>
                  <w:szCs w:val="28"/>
                </w:rPr>
                <m:t>kg</m:t>
              </m:r>
            </m:oMath>
          </w:p>
        </w:tc>
      </w:tr>
      <w:tr w14:paraId="11737F1F">
        <w:tblPrEx>
          <w:tblCellMar>
            <w:top w:w="0" w:type="dxa"/>
            <w:left w:w="108" w:type="dxa"/>
            <w:bottom w:w="0" w:type="dxa"/>
            <w:right w:w="108" w:type="dxa"/>
          </w:tblCellMar>
        </w:tblPrEx>
        <w:trPr>
          <w:trHeight w:val="643" w:hRule="atLeast"/>
        </w:trPr>
        <w:tc>
          <w:tcPr>
            <w:tcW w:w="1440" w:type="dxa"/>
            <w:tcBorders>
              <w:top w:val="single" w:color="auto" w:sz="4" w:space="0"/>
              <w:left w:val="single" w:color="auto" w:sz="4" w:space="0"/>
              <w:bottom w:val="single" w:color="auto" w:sz="4" w:space="0"/>
              <w:right w:val="single" w:color="auto" w:sz="4" w:space="0"/>
            </w:tcBorders>
            <w:vAlign w:val="center"/>
          </w:tcPr>
          <w:p w14:paraId="60F5DE64">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58930E97">
            <w:pPr>
              <w:pStyle w:val="15"/>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5</w:t>
            </w:r>
          </w:p>
        </w:tc>
        <w:tc>
          <w:tcPr>
            <w:tcW w:w="7724" w:type="dxa"/>
            <w:tcBorders>
              <w:top w:val="single" w:color="auto" w:sz="4" w:space="0"/>
              <w:left w:val="nil"/>
              <w:bottom w:val="single" w:color="auto" w:sz="4" w:space="0"/>
              <w:right w:val="single" w:color="auto" w:sz="4" w:space="0"/>
            </w:tcBorders>
            <w:shd w:val="clear" w:color="auto" w:fill="auto"/>
            <w:vAlign w:val="center"/>
          </w:tcPr>
          <w:p w14:paraId="2849CEC7">
            <w:pPr>
              <w:pStyle w:val="15"/>
              <w:numPr>
                <w:ilvl w:val="0"/>
                <w:numId w:val="0"/>
              </w:numPr>
              <w:ind w:left="0" w:leftChars="0" w:firstLine="0" w:firstLineChars="0"/>
              <w:rPr>
                <w:rFonts w:hint="eastAsia" w:ascii="宋体" w:hAnsi="宋体" w:eastAsia="宋体" w:cs="宋体"/>
                <w:b w:val="0"/>
                <w:bCs w:val="0"/>
                <w:color w:val="auto"/>
                <w:kern w:val="2"/>
                <w:sz w:val="24"/>
                <w:szCs w:val="24"/>
                <w:lang w:val="en-US" w:eastAsia="zh-CN" w:bidi="ar-SA"/>
              </w:rPr>
            </w:pPr>
            <w:r>
              <w:rPr>
                <w:rFonts w:hint="eastAsia"/>
                <w:color w:val="auto"/>
                <w:sz w:val="28"/>
                <w:szCs w:val="28"/>
                <w:lang w:eastAsia="zh-CN"/>
              </w:rPr>
              <w:t>设有负压破除阀直径≤</w:t>
            </w:r>
            <w:r>
              <w:rPr>
                <w:rFonts w:hint="eastAsia"/>
                <w:color w:val="auto"/>
                <w:sz w:val="28"/>
                <w:szCs w:val="28"/>
                <w:lang w:val="en-US" w:eastAsia="zh-CN"/>
              </w:rPr>
              <w:t>3/8。</w:t>
            </w:r>
          </w:p>
        </w:tc>
      </w:tr>
      <w:tr w14:paraId="2D5C11D7">
        <w:tblPrEx>
          <w:tblCellMar>
            <w:top w:w="0" w:type="dxa"/>
            <w:left w:w="108" w:type="dxa"/>
            <w:bottom w:w="0" w:type="dxa"/>
            <w:right w:w="108" w:type="dxa"/>
          </w:tblCellMar>
        </w:tblPrEx>
        <w:trPr>
          <w:trHeight w:val="537" w:hRule="atLeast"/>
        </w:trPr>
        <w:tc>
          <w:tcPr>
            <w:tcW w:w="1440" w:type="dxa"/>
            <w:tcBorders>
              <w:top w:val="single" w:color="auto" w:sz="4" w:space="0"/>
              <w:left w:val="single" w:color="auto" w:sz="4" w:space="0"/>
              <w:bottom w:val="single" w:color="auto" w:sz="4" w:space="0"/>
              <w:right w:val="single" w:color="auto" w:sz="4" w:space="0"/>
            </w:tcBorders>
            <w:vAlign w:val="center"/>
          </w:tcPr>
          <w:p w14:paraId="22893078">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3DD937CE">
            <w:pPr>
              <w:pStyle w:val="15"/>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6</w:t>
            </w:r>
          </w:p>
        </w:tc>
        <w:tc>
          <w:tcPr>
            <w:tcW w:w="7724" w:type="dxa"/>
            <w:tcBorders>
              <w:top w:val="single" w:color="auto" w:sz="4" w:space="0"/>
              <w:left w:val="nil"/>
              <w:bottom w:val="single" w:color="auto" w:sz="4" w:space="0"/>
              <w:right w:val="single" w:color="auto" w:sz="4" w:space="0"/>
            </w:tcBorders>
            <w:shd w:val="clear" w:color="auto" w:fill="auto"/>
            <w:vAlign w:val="center"/>
          </w:tcPr>
          <w:p w14:paraId="6DE852DA">
            <w:pPr>
              <w:pStyle w:val="15"/>
              <w:numPr>
                <w:ilvl w:val="0"/>
                <w:numId w:val="0"/>
              </w:numPr>
              <w:ind w:left="0" w:leftChars="0" w:firstLine="0" w:firstLineChars="0"/>
              <w:rPr>
                <w:rFonts w:hint="eastAsia" w:ascii="宋体" w:hAnsi="宋体" w:eastAsia="宋体" w:cs="宋体"/>
                <w:b w:val="0"/>
                <w:bCs w:val="0"/>
                <w:color w:val="auto"/>
                <w:kern w:val="2"/>
                <w:sz w:val="24"/>
                <w:szCs w:val="24"/>
                <w:lang w:val="en-US" w:eastAsia="zh-CN" w:bidi="ar-SA"/>
              </w:rPr>
            </w:pPr>
            <w:r>
              <w:rPr>
                <w:rFonts w:hint="eastAsia"/>
                <w:color w:val="auto"/>
                <w:sz w:val="28"/>
                <w:szCs w:val="28"/>
                <w:lang w:val="en-US" w:eastAsia="zh-CN"/>
              </w:rPr>
              <w:t>安全阀为铜制品全量式安全阀。带有泄水装置，不腐蚀安全阀内部，不会造成假超压报警，保证设备安全工作。</w:t>
            </w:r>
          </w:p>
        </w:tc>
      </w:tr>
      <w:tr w14:paraId="4196F136">
        <w:tblPrEx>
          <w:tblCellMar>
            <w:top w:w="0" w:type="dxa"/>
            <w:left w:w="108" w:type="dxa"/>
            <w:bottom w:w="0" w:type="dxa"/>
            <w:right w:w="108" w:type="dxa"/>
          </w:tblCellMar>
        </w:tblPrEx>
        <w:trPr>
          <w:trHeight w:val="1256" w:hRule="atLeast"/>
        </w:trPr>
        <w:tc>
          <w:tcPr>
            <w:tcW w:w="1440" w:type="dxa"/>
            <w:tcBorders>
              <w:top w:val="single" w:color="auto" w:sz="4" w:space="0"/>
              <w:left w:val="single" w:color="auto" w:sz="4" w:space="0"/>
              <w:bottom w:val="single" w:color="auto" w:sz="4" w:space="0"/>
              <w:right w:val="single" w:color="auto" w:sz="4" w:space="0"/>
            </w:tcBorders>
            <w:vAlign w:val="center"/>
          </w:tcPr>
          <w:p w14:paraId="2FFC687F">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2CAAC837">
            <w:pPr>
              <w:pStyle w:val="15"/>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7</w:t>
            </w:r>
          </w:p>
        </w:tc>
        <w:tc>
          <w:tcPr>
            <w:tcW w:w="7724" w:type="dxa"/>
            <w:tcBorders>
              <w:top w:val="single" w:color="auto" w:sz="4" w:space="0"/>
              <w:left w:val="nil"/>
              <w:bottom w:val="single" w:color="auto" w:sz="4" w:space="0"/>
              <w:right w:val="single" w:color="auto" w:sz="4" w:space="0"/>
            </w:tcBorders>
            <w:shd w:val="clear" w:color="auto" w:fill="auto"/>
            <w:vAlign w:val="center"/>
          </w:tcPr>
          <w:p w14:paraId="35FEC36D">
            <w:pPr>
              <w:pStyle w:val="15"/>
              <w:numPr>
                <w:ilvl w:val="0"/>
                <w:numId w:val="0"/>
              </w:numPr>
              <w:ind w:left="0" w:leftChars="0" w:firstLine="0" w:firstLineChars="0"/>
              <w:rPr>
                <w:rFonts w:hint="eastAsia" w:ascii="宋体" w:hAnsi="宋体" w:eastAsia="宋体" w:cs="宋体"/>
                <w:b w:val="0"/>
                <w:bCs w:val="0"/>
                <w:color w:val="auto"/>
                <w:kern w:val="2"/>
                <w:sz w:val="24"/>
                <w:szCs w:val="24"/>
                <w:lang w:val="en-US" w:eastAsia="zh-CN" w:bidi="ar-SA"/>
              </w:rPr>
            </w:pPr>
            <w:r>
              <w:rPr>
                <w:rFonts w:hint="eastAsia"/>
                <w:color w:val="auto"/>
                <w:sz w:val="28"/>
                <w:szCs w:val="28"/>
                <w:lang w:val="en-US" w:eastAsia="zh-CN"/>
              </w:rPr>
              <w:t>设备罩板需采用烤漆工艺制作，能起到隔热作用保护控制系统的可靠性及使用寿命。</w:t>
            </w:r>
          </w:p>
        </w:tc>
      </w:tr>
      <w:tr w14:paraId="7F448D91">
        <w:tblPrEx>
          <w:tblCellMar>
            <w:top w:w="0" w:type="dxa"/>
            <w:left w:w="108" w:type="dxa"/>
            <w:bottom w:w="0" w:type="dxa"/>
            <w:right w:w="108" w:type="dxa"/>
          </w:tblCellMar>
        </w:tblPrEx>
        <w:trPr>
          <w:trHeight w:val="587" w:hRule="atLeast"/>
        </w:trPr>
        <w:tc>
          <w:tcPr>
            <w:tcW w:w="1440" w:type="dxa"/>
            <w:tcBorders>
              <w:top w:val="single" w:color="auto" w:sz="4" w:space="0"/>
              <w:left w:val="single" w:color="auto" w:sz="4" w:space="0"/>
              <w:bottom w:val="single" w:color="auto" w:sz="4" w:space="0"/>
              <w:right w:val="single" w:color="auto" w:sz="4" w:space="0"/>
            </w:tcBorders>
            <w:vAlign w:val="center"/>
          </w:tcPr>
          <w:p w14:paraId="1F38A938">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30C67AED">
            <w:pPr>
              <w:pStyle w:val="15"/>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8</w:t>
            </w:r>
          </w:p>
        </w:tc>
        <w:tc>
          <w:tcPr>
            <w:tcW w:w="7724" w:type="dxa"/>
            <w:tcBorders>
              <w:top w:val="single" w:color="auto" w:sz="4" w:space="0"/>
              <w:left w:val="nil"/>
              <w:bottom w:val="single" w:color="auto" w:sz="4" w:space="0"/>
              <w:right w:val="single" w:color="auto" w:sz="4" w:space="0"/>
            </w:tcBorders>
            <w:shd w:val="clear" w:color="auto" w:fill="auto"/>
            <w:vAlign w:val="center"/>
          </w:tcPr>
          <w:p w14:paraId="49567DFF">
            <w:pPr>
              <w:pStyle w:val="15"/>
              <w:numPr>
                <w:ilvl w:val="0"/>
                <w:numId w:val="0"/>
              </w:numPr>
              <w:ind w:left="0" w:leftChars="0" w:firstLine="0" w:firstLineChars="0"/>
              <w:rPr>
                <w:rFonts w:hint="eastAsia" w:ascii="宋体" w:hAnsi="宋体" w:eastAsia="宋体" w:cs="宋体"/>
                <w:b w:val="0"/>
                <w:bCs w:val="0"/>
                <w:color w:val="auto"/>
                <w:kern w:val="2"/>
                <w:sz w:val="24"/>
                <w:szCs w:val="24"/>
                <w:lang w:val="en-US" w:eastAsia="zh-CN" w:bidi="ar-SA"/>
              </w:rPr>
            </w:pPr>
            <w:r>
              <w:rPr>
                <w:rFonts w:hint="eastAsia"/>
                <w:color w:val="auto"/>
                <w:sz w:val="28"/>
                <w:szCs w:val="28"/>
              </w:rPr>
              <w:t>无需办理</w:t>
            </w:r>
            <w:r>
              <w:rPr>
                <w:color w:val="auto"/>
                <w:sz w:val="28"/>
                <w:szCs w:val="28"/>
              </w:rPr>
              <w:t>压力容器使用证</w:t>
            </w:r>
            <w:r>
              <w:rPr>
                <w:rFonts w:hint="eastAsia"/>
                <w:color w:val="auto"/>
                <w:sz w:val="28"/>
                <w:szCs w:val="28"/>
                <w:lang w:eastAsia="zh-CN"/>
              </w:rPr>
              <w:t>，</w:t>
            </w:r>
            <w:r>
              <w:rPr>
                <w:rFonts w:hint="eastAsia"/>
                <w:color w:val="auto"/>
                <w:sz w:val="28"/>
                <w:szCs w:val="28"/>
                <w:lang w:val="en-US" w:eastAsia="zh-CN"/>
              </w:rPr>
              <w:t>无使用寿命要求。</w:t>
            </w:r>
          </w:p>
        </w:tc>
      </w:tr>
      <w:tr w14:paraId="7D632A15">
        <w:tblPrEx>
          <w:tblCellMar>
            <w:top w:w="0" w:type="dxa"/>
            <w:left w:w="108" w:type="dxa"/>
            <w:bottom w:w="0" w:type="dxa"/>
            <w:right w:w="108" w:type="dxa"/>
          </w:tblCellMar>
        </w:tblPrEx>
        <w:trPr>
          <w:trHeight w:val="722" w:hRule="atLeast"/>
        </w:trPr>
        <w:tc>
          <w:tcPr>
            <w:tcW w:w="1440" w:type="dxa"/>
            <w:tcBorders>
              <w:top w:val="single" w:color="auto" w:sz="4" w:space="0"/>
              <w:left w:val="single" w:color="auto" w:sz="4" w:space="0"/>
              <w:bottom w:val="single" w:color="auto" w:sz="4" w:space="0"/>
              <w:right w:val="single" w:color="auto" w:sz="4" w:space="0"/>
            </w:tcBorders>
            <w:vAlign w:val="center"/>
          </w:tcPr>
          <w:p w14:paraId="7C50FDDC">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7F52360D">
            <w:pPr>
              <w:pStyle w:val="15"/>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9</w:t>
            </w:r>
          </w:p>
        </w:tc>
        <w:tc>
          <w:tcPr>
            <w:tcW w:w="7724" w:type="dxa"/>
            <w:tcBorders>
              <w:top w:val="single" w:color="auto" w:sz="4" w:space="0"/>
              <w:left w:val="nil"/>
              <w:bottom w:val="single" w:color="auto" w:sz="4" w:space="0"/>
              <w:right w:val="single" w:color="auto" w:sz="4" w:space="0"/>
            </w:tcBorders>
            <w:shd w:val="clear" w:color="auto" w:fill="auto"/>
            <w:vAlign w:val="center"/>
          </w:tcPr>
          <w:p w14:paraId="680902F1">
            <w:pPr>
              <w:pStyle w:val="15"/>
              <w:numPr>
                <w:ilvl w:val="0"/>
                <w:numId w:val="0"/>
              </w:numPr>
              <w:ind w:leftChars="0"/>
              <w:rPr>
                <w:rFonts w:hint="eastAsia"/>
                <w:color w:val="auto"/>
                <w:sz w:val="28"/>
                <w:szCs w:val="28"/>
                <w:lang w:val="en-US" w:eastAsia="zh-CN"/>
              </w:rPr>
            </w:pPr>
            <w:r>
              <w:rPr>
                <w:rFonts w:hint="eastAsia"/>
                <w:color w:val="auto"/>
                <w:sz w:val="28"/>
                <w:szCs w:val="28"/>
                <w:lang w:val="en-US" w:eastAsia="zh-CN"/>
              </w:rPr>
              <w:t>额定蒸汽压力：0.7Mpa，蒸汽压力调节范围0.3—0.7Mpa</w:t>
            </w:r>
          </w:p>
          <w:p w14:paraId="6CE50680">
            <w:pPr>
              <w:pStyle w:val="15"/>
              <w:numPr>
                <w:ilvl w:val="0"/>
                <w:numId w:val="0"/>
              </w:numPr>
              <w:ind w:leftChars="0"/>
              <w:rPr>
                <w:rFonts w:hint="eastAsia"/>
                <w:color w:val="auto"/>
                <w:sz w:val="28"/>
                <w:szCs w:val="28"/>
                <w:lang w:val="en-US" w:eastAsia="zh-CN"/>
              </w:rPr>
            </w:pPr>
            <w:r>
              <w:rPr>
                <w:rFonts w:hint="eastAsia"/>
                <w:color w:val="auto"/>
                <w:sz w:val="28"/>
                <w:szCs w:val="28"/>
                <w:lang w:val="en-US" w:eastAsia="zh-CN"/>
              </w:rPr>
              <w:t>使用电源：AC 380V  50HZ  3相</w:t>
            </w:r>
          </w:p>
          <w:p w14:paraId="3A26D309">
            <w:pPr>
              <w:pStyle w:val="15"/>
              <w:numPr>
                <w:ilvl w:val="0"/>
                <w:numId w:val="0"/>
              </w:numPr>
              <w:ind w:left="0" w:leftChars="0" w:firstLine="0" w:firstLineChars="0"/>
              <w:rPr>
                <w:rFonts w:hint="eastAsia" w:ascii="宋体" w:hAnsi="宋体" w:eastAsia="宋体" w:cs="宋体"/>
                <w:b w:val="0"/>
                <w:bCs w:val="0"/>
                <w:color w:val="auto"/>
                <w:kern w:val="2"/>
                <w:sz w:val="24"/>
                <w:szCs w:val="24"/>
                <w:lang w:val="en-US" w:eastAsia="zh-CN" w:bidi="ar-SA"/>
              </w:rPr>
            </w:pPr>
            <w:r>
              <w:rPr>
                <w:rFonts w:hint="eastAsia"/>
                <w:color w:val="auto"/>
                <w:sz w:val="28"/>
                <w:szCs w:val="28"/>
                <w:lang w:val="en-US" w:eastAsia="zh-CN"/>
              </w:rPr>
              <w:t>电源断路器容量：175A</w:t>
            </w:r>
          </w:p>
        </w:tc>
      </w:tr>
      <w:tr w14:paraId="758EA539">
        <w:tblPrEx>
          <w:tblCellMar>
            <w:top w:w="0" w:type="dxa"/>
            <w:left w:w="108" w:type="dxa"/>
            <w:bottom w:w="0" w:type="dxa"/>
            <w:right w:w="108" w:type="dxa"/>
          </w:tblCellMar>
        </w:tblPrEx>
        <w:trPr>
          <w:trHeight w:val="90" w:hRule="atLeast"/>
        </w:trPr>
        <w:tc>
          <w:tcPr>
            <w:tcW w:w="1440" w:type="dxa"/>
            <w:tcBorders>
              <w:top w:val="single" w:color="auto" w:sz="4" w:space="0"/>
              <w:left w:val="single" w:color="auto" w:sz="4" w:space="0"/>
              <w:bottom w:val="single" w:color="auto" w:sz="4" w:space="0"/>
              <w:right w:val="single" w:color="auto" w:sz="4" w:space="0"/>
            </w:tcBorders>
            <w:vAlign w:val="center"/>
          </w:tcPr>
          <w:p w14:paraId="22D7C656">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087CF135">
            <w:pPr>
              <w:pStyle w:val="15"/>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10</w:t>
            </w:r>
          </w:p>
        </w:tc>
        <w:tc>
          <w:tcPr>
            <w:tcW w:w="7724" w:type="dxa"/>
            <w:tcBorders>
              <w:top w:val="single" w:color="auto" w:sz="4" w:space="0"/>
              <w:left w:val="nil"/>
              <w:bottom w:val="single" w:color="auto" w:sz="4" w:space="0"/>
              <w:right w:val="single" w:color="auto" w:sz="4" w:space="0"/>
            </w:tcBorders>
            <w:shd w:val="clear" w:color="auto" w:fill="auto"/>
            <w:vAlign w:val="center"/>
          </w:tcPr>
          <w:p w14:paraId="025259A1">
            <w:pPr>
              <w:pStyle w:val="15"/>
              <w:numPr>
                <w:ilvl w:val="0"/>
                <w:numId w:val="0"/>
              </w:numPr>
              <w:ind w:left="0" w:leftChars="0" w:firstLine="0" w:firstLineChars="0"/>
              <w:jc w:val="left"/>
              <w:rPr>
                <w:rFonts w:hint="eastAsia" w:ascii="Times New Roman" w:hAnsi="Times New Roman" w:eastAsia="宋体" w:cs="Times New Roman"/>
                <w:color w:val="auto"/>
                <w:kern w:val="2"/>
                <w:sz w:val="28"/>
                <w:szCs w:val="28"/>
                <w:lang w:val="en-US" w:eastAsia="zh-CN" w:bidi="ar-SA"/>
              </w:rPr>
            </w:pPr>
            <w:r>
              <w:rPr>
                <w:rFonts w:hint="eastAsia"/>
                <w:color w:val="auto"/>
                <w:sz w:val="28"/>
                <w:szCs w:val="28"/>
                <w:lang w:val="en-US" w:eastAsia="zh-CN"/>
              </w:rPr>
              <w:t>加热器功率根数*kw(6x16)。</w:t>
            </w:r>
          </w:p>
        </w:tc>
      </w:tr>
      <w:tr w14:paraId="3BC87512">
        <w:tblPrEx>
          <w:tblCellMar>
            <w:top w:w="0" w:type="dxa"/>
            <w:left w:w="108" w:type="dxa"/>
            <w:bottom w:w="0" w:type="dxa"/>
            <w:right w:w="108" w:type="dxa"/>
          </w:tblCellMar>
        </w:tblPrEx>
        <w:trPr>
          <w:trHeight w:val="925" w:hRule="atLeast"/>
        </w:trPr>
        <w:tc>
          <w:tcPr>
            <w:tcW w:w="1440" w:type="dxa"/>
            <w:tcBorders>
              <w:top w:val="single" w:color="auto" w:sz="4" w:space="0"/>
              <w:left w:val="single" w:color="auto" w:sz="4" w:space="0"/>
              <w:bottom w:val="single" w:color="auto" w:sz="4" w:space="0"/>
              <w:right w:val="single" w:color="auto" w:sz="4" w:space="0"/>
            </w:tcBorders>
            <w:vAlign w:val="center"/>
          </w:tcPr>
          <w:p w14:paraId="520854B5">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71929A62">
            <w:pPr>
              <w:pStyle w:val="15"/>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11</w:t>
            </w:r>
          </w:p>
        </w:tc>
        <w:tc>
          <w:tcPr>
            <w:tcW w:w="7724" w:type="dxa"/>
            <w:tcBorders>
              <w:top w:val="single" w:color="auto" w:sz="4" w:space="0"/>
              <w:left w:val="nil"/>
              <w:bottom w:val="single" w:color="auto" w:sz="4" w:space="0"/>
              <w:right w:val="single" w:color="auto" w:sz="4" w:space="0"/>
            </w:tcBorders>
            <w:shd w:val="clear" w:color="auto" w:fill="auto"/>
            <w:vAlign w:val="center"/>
          </w:tcPr>
          <w:p w14:paraId="59C2B29C">
            <w:pPr>
              <w:pStyle w:val="15"/>
              <w:numPr>
                <w:ilvl w:val="0"/>
                <w:numId w:val="0"/>
              </w:numPr>
              <w:ind w:left="0" w:leftChars="0" w:firstLine="0" w:firstLineChars="0"/>
              <w:rPr>
                <w:rFonts w:hint="eastAsia" w:ascii="宋体" w:hAnsi="宋体" w:eastAsia="宋体" w:cs="宋体"/>
                <w:b w:val="0"/>
                <w:bCs w:val="0"/>
                <w:color w:val="auto"/>
                <w:kern w:val="2"/>
                <w:sz w:val="24"/>
                <w:szCs w:val="24"/>
                <w:lang w:val="en-US" w:eastAsia="zh-CN" w:bidi="ar-SA"/>
              </w:rPr>
            </w:pPr>
            <w:r>
              <w:rPr>
                <w:rFonts w:hint="eastAsia"/>
                <w:color w:val="auto"/>
                <w:sz w:val="28"/>
                <w:szCs w:val="28"/>
                <w:lang w:eastAsia="zh-CN"/>
              </w:rPr>
              <w:t>具有自动排污功能，自动定时排除蒸汽发生器内部沉淀的杂质，提高蒸汽的纯度。</w:t>
            </w:r>
          </w:p>
        </w:tc>
      </w:tr>
      <w:tr w14:paraId="431C6D97">
        <w:tblPrEx>
          <w:tblCellMar>
            <w:top w:w="0" w:type="dxa"/>
            <w:left w:w="108" w:type="dxa"/>
            <w:bottom w:w="0" w:type="dxa"/>
            <w:right w:w="108" w:type="dxa"/>
          </w:tblCellMar>
        </w:tblPrEx>
        <w:trPr>
          <w:trHeight w:val="1076" w:hRule="atLeast"/>
        </w:trPr>
        <w:tc>
          <w:tcPr>
            <w:tcW w:w="1440" w:type="dxa"/>
            <w:tcBorders>
              <w:top w:val="single" w:color="auto" w:sz="4" w:space="0"/>
              <w:left w:val="single" w:color="auto" w:sz="4" w:space="0"/>
              <w:bottom w:val="single" w:color="auto" w:sz="4" w:space="0"/>
              <w:right w:val="single" w:color="auto" w:sz="4" w:space="0"/>
            </w:tcBorders>
            <w:vAlign w:val="center"/>
          </w:tcPr>
          <w:p w14:paraId="2D6495E7">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7016D422">
            <w:pPr>
              <w:pStyle w:val="15"/>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12</w:t>
            </w:r>
          </w:p>
        </w:tc>
        <w:tc>
          <w:tcPr>
            <w:tcW w:w="7724" w:type="dxa"/>
            <w:tcBorders>
              <w:top w:val="single" w:color="auto" w:sz="4" w:space="0"/>
              <w:left w:val="nil"/>
              <w:bottom w:val="single" w:color="auto" w:sz="4" w:space="0"/>
              <w:right w:val="single" w:color="auto" w:sz="4" w:space="0"/>
            </w:tcBorders>
            <w:shd w:val="clear" w:color="auto" w:fill="auto"/>
            <w:vAlign w:val="center"/>
          </w:tcPr>
          <w:p w14:paraId="3803CB93">
            <w:pPr>
              <w:pStyle w:val="15"/>
              <w:numPr>
                <w:ilvl w:val="0"/>
                <w:numId w:val="0"/>
              </w:numPr>
              <w:ind w:left="0" w:leftChars="0" w:firstLine="0" w:firstLineChars="0"/>
              <w:rPr>
                <w:rFonts w:hint="eastAsia" w:ascii="Times New Roman" w:hAnsi="Times New Roman" w:eastAsia="宋体" w:cs="Times New Roman"/>
                <w:color w:val="auto"/>
                <w:kern w:val="2"/>
                <w:sz w:val="28"/>
                <w:szCs w:val="21"/>
                <w:lang w:val="en-US" w:eastAsia="zh-CN" w:bidi="ar-SA"/>
              </w:rPr>
            </w:pPr>
            <w:r>
              <w:rPr>
                <w:rFonts w:hint="eastAsia"/>
                <w:color w:val="auto"/>
                <w:sz w:val="28"/>
                <w:szCs w:val="28"/>
              </w:rPr>
              <w:t>功能</w:t>
            </w:r>
            <w:r>
              <w:rPr>
                <w:color w:val="auto"/>
                <w:sz w:val="28"/>
                <w:szCs w:val="28"/>
              </w:rPr>
              <w:t>：</w:t>
            </w:r>
            <w:r>
              <w:rPr>
                <w:rFonts w:hint="eastAsia"/>
                <w:color w:val="auto"/>
                <w:sz w:val="28"/>
                <w:szCs w:val="28"/>
              </w:rPr>
              <w:t>ON-OFF自动控制</w:t>
            </w:r>
            <w:r>
              <w:rPr>
                <w:rFonts w:hint="eastAsia"/>
                <w:color w:val="auto"/>
                <w:sz w:val="28"/>
                <w:szCs w:val="28"/>
                <w:lang w:eastAsia="zh-CN"/>
              </w:rPr>
              <w:t>，自动加水、自动除垢、自动缺水保护、自动超压保护功能。</w:t>
            </w:r>
          </w:p>
        </w:tc>
      </w:tr>
      <w:tr w14:paraId="48048E85">
        <w:tblPrEx>
          <w:tblCellMar>
            <w:top w:w="0" w:type="dxa"/>
            <w:left w:w="108" w:type="dxa"/>
            <w:bottom w:w="0" w:type="dxa"/>
            <w:right w:w="108" w:type="dxa"/>
          </w:tblCellMar>
        </w:tblPrEx>
        <w:trPr>
          <w:trHeight w:val="1076" w:hRule="atLeast"/>
        </w:trPr>
        <w:tc>
          <w:tcPr>
            <w:tcW w:w="1440" w:type="dxa"/>
            <w:tcBorders>
              <w:top w:val="single" w:color="auto" w:sz="4" w:space="0"/>
              <w:left w:val="single" w:color="auto" w:sz="4" w:space="0"/>
              <w:bottom w:val="single" w:color="auto" w:sz="4" w:space="0"/>
              <w:right w:val="single" w:color="auto" w:sz="4" w:space="0"/>
            </w:tcBorders>
            <w:vAlign w:val="center"/>
          </w:tcPr>
          <w:p w14:paraId="623B126F">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76B4EF0E">
            <w:pPr>
              <w:pStyle w:val="15"/>
              <w:widowControl/>
              <w:ind w:firstLine="0" w:firstLineChars="0"/>
              <w:jc w:val="center"/>
              <w:rPr>
                <w:rFonts w:hint="default" w:ascii="宋体" w:hAnsi="宋体" w:eastAsia="宋体" w:cs="宋体"/>
                <w:color w:val="auto"/>
                <w:kern w:val="0"/>
                <w:sz w:val="24"/>
                <w:szCs w:val="24"/>
                <w:lang w:val="en-US" w:eastAsia="zh-CN" w:bidi="lo-LA"/>
              </w:rPr>
            </w:pPr>
            <w:r>
              <w:rPr>
                <w:rFonts w:hint="eastAsia" w:ascii="宋体" w:hAnsi="宋体" w:cs="宋体"/>
                <w:color w:val="auto"/>
                <w:kern w:val="0"/>
                <w:sz w:val="24"/>
                <w:szCs w:val="24"/>
                <w:lang w:val="en-US" w:eastAsia="zh-CN" w:bidi="lo-LA"/>
              </w:rPr>
              <w:t>13</w:t>
            </w:r>
          </w:p>
        </w:tc>
        <w:tc>
          <w:tcPr>
            <w:tcW w:w="7724" w:type="dxa"/>
            <w:tcBorders>
              <w:top w:val="single" w:color="auto" w:sz="4" w:space="0"/>
              <w:left w:val="nil"/>
              <w:bottom w:val="single" w:color="auto" w:sz="4" w:space="0"/>
              <w:right w:val="single" w:color="auto" w:sz="4" w:space="0"/>
            </w:tcBorders>
            <w:shd w:val="clear" w:color="auto" w:fill="auto"/>
            <w:vAlign w:val="center"/>
          </w:tcPr>
          <w:p w14:paraId="751C03C2">
            <w:pPr>
              <w:pStyle w:val="15"/>
              <w:numPr>
                <w:ilvl w:val="0"/>
                <w:numId w:val="0"/>
              </w:numPr>
              <w:ind w:left="0" w:leftChars="0" w:firstLine="0" w:firstLineChars="0"/>
              <w:rPr>
                <w:rFonts w:hint="eastAsia" w:ascii="宋体" w:hAnsi="宋体" w:eastAsia="宋体" w:cs="宋体"/>
                <w:b w:val="0"/>
                <w:bCs w:val="0"/>
                <w:color w:val="auto"/>
                <w:kern w:val="2"/>
                <w:sz w:val="24"/>
                <w:szCs w:val="24"/>
                <w:lang w:val="en-US" w:eastAsia="zh-CN" w:bidi="ar-SA"/>
              </w:rPr>
            </w:pPr>
            <w:r>
              <w:rPr>
                <w:rFonts w:hint="eastAsia"/>
                <w:color w:val="auto"/>
                <w:sz w:val="28"/>
                <w:szCs w:val="28"/>
              </w:rPr>
              <w:t>压力控制</w:t>
            </w:r>
            <w:r>
              <w:rPr>
                <w:color w:val="auto"/>
                <w:sz w:val="28"/>
                <w:szCs w:val="28"/>
              </w:rPr>
              <w:t>方式：</w:t>
            </w:r>
            <w:r>
              <w:rPr>
                <w:rFonts w:hint="eastAsia"/>
                <w:color w:val="auto"/>
                <w:sz w:val="28"/>
                <w:szCs w:val="28"/>
              </w:rPr>
              <w:t>压力</w:t>
            </w:r>
            <w:r>
              <w:rPr>
                <w:color w:val="auto"/>
                <w:sz w:val="28"/>
                <w:szCs w:val="28"/>
              </w:rPr>
              <w:t>输出时压力波动范围</w:t>
            </w:r>
            <w:r>
              <w:rPr>
                <w:rFonts w:hint="eastAsia" w:asciiTheme="minorEastAsia" w:hAnsiTheme="minorEastAsia"/>
                <w:color w:val="auto"/>
                <w:sz w:val="28"/>
                <w:szCs w:val="28"/>
              </w:rPr>
              <w:t>&lt;</w:t>
            </w:r>
            <w:r>
              <w:rPr>
                <w:color w:val="auto"/>
                <w:sz w:val="28"/>
                <w:szCs w:val="28"/>
              </w:rPr>
              <w:t xml:space="preserve">0.1Mpa. </w:t>
            </w:r>
            <w:r>
              <w:rPr>
                <w:rFonts w:hint="eastAsia"/>
                <w:color w:val="auto"/>
                <w:sz w:val="28"/>
                <w:szCs w:val="28"/>
              </w:rPr>
              <w:t>最高</w:t>
            </w:r>
            <w:r>
              <w:rPr>
                <w:color w:val="auto"/>
                <w:sz w:val="28"/>
                <w:szCs w:val="28"/>
              </w:rPr>
              <w:t>工作压力</w:t>
            </w:r>
            <w:r>
              <w:rPr>
                <w:rFonts w:hint="eastAsia"/>
                <w:color w:val="auto"/>
                <w:sz w:val="28"/>
                <w:szCs w:val="28"/>
              </w:rPr>
              <w:t xml:space="preserve"> 0.</w:t>
            </w:r>
            <w:r>
              <w:rPr>
                <w:color w:val="auto"/>
                <w:sz w:val="28"/>
                <w:szCs w:val="28"/>
              </w:rPr>
              <w:t>7MPa</w:t>
            </w:r>
            <w:r>
              <w:rPr>
                <w:rFonts w:hint="eastAsia"/>
                <w:color w:val="auto"/>
                <w:sz w:val="28"/>
                <w:szCs w:val="28"/>
              </w:rPr>
              <w:t>具有</w:t>
            </w:r>
            <w:r>
              <w:rPr>
                <w:color w:val="auto"/>
                <w:sz w:val="28"/>
                <w:szCs w:val="28"/>
              </w:rPr>
              <w:t>防干烧安全控制系统，当水源不足，温度过高时会自动报警并且切断加热电源，有效防止意外情况的发生。</w:t>
            </w:r>
          </w:p>
        </w:tc>
      </w:tr>
      <w:tr w14:paraId="15229FD5">
        <w:tblPrEx>
          <w:tblCellMar>
            <w:top w:w="0" w:type="dxa"/>
            <w:left w:w="108" w:type="dxa"/>
            <w:bottom w:w="0" w:type="dxa"/>
            <w:right w:w="108" w:type="dxa"/>
          </w:tblCellMar>
        </w:tblPrEx>
        <w:trPr>
          <w:trHeight w:val="1080" w:hRule="atLeast"/>
        </w:trPr>
        <w:tc>
          <w:tcPr>
            <w:tcW w:w="1440" w:type="dxa"/>
            <w:tcBorders>
              <w:top w:val="single" w:color="auto" w:sz="4" w:space="0"/>
              <w:left w:val="single" w:color="auto" w:sz="4" w:space="0"/>
              <w:bottom w:val="single" w:color="auto" w:sz="4" w:space="0"/>
              <w:right w:val="single" w:color="auto" w:sz="4" w:space="0"/>
            </w:tcBorders>
            <w:vAlign w:val="center"/>
          </w:tcPr>
          <w:p w14:paraId="28E97E23">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159E2035">
            <w:pPr>
              <w:pStyle w:val="15"/>
              <w:widowControl/>
              <w:ind w:firstLine="0" w:firstLineChars="0"/>
              <w:jc w:val="center"/>
              <w:rPr>
                <w:rFonts w:hint="eastAsia" w:ascii="宋体" w:hAnsi="宋体" w:eastAsia="宋体" w:cs="宋体"/>
                <w:color w:val="auto"/>
                <w:kern w:val="0"/>
                <w:sz w:val="24"/>
                <w:szCs w:val="24"/>
                <w:lang w:val="en-US" w:eastAsia="zh-CN" w:bidi="lo-LA"/>
              </w:rPr>
            </w:pPr>
            <w:r>
              <w:rPr>
                <w:rFonts w:hint="eastAsia" w:ascii="宋体" w:hAnsi="宋体" w:eastAsia="宋体" w:cs="宋体"/>
                <w:color w:val="auto"/>
                <w:kern w:val="0"/>
                <w:sz w:val="24"/>
                <w:szCs w:val="24"/>
                <w:lang w:bidi="lo-LA"/>
              </w:rPr>
              <w:t>1</w:t>
            </w:r>
            <w:r>
              <w:rPr>
                <w:rFonts w:hint="eastAsia" w:ascii="宋体" w:hAnsi="宋体" w:cs="宋体"/>
                <w:color w:val="auto"/>
                <w:kern w:val="0"/>
                <w:sz w:val="24"/>
                <w:szCs w:val="24"/>
                <w:lang w:val="en-US" w:eastAsia="zh-CN" w:bidi="lo-LA"/>
              </w:rPr>
              <w:t>4</w:t>
            </w:r>
          </w:p>
        </w:tc>
        <w:tc>
          <w:tcPr>
            <w:tcW w:w="7724" w:type="dxa"/>
            <w:tcBorders>
              <w:top w:val="single" w:color="auto" w:sz="4" w:space="0"/>
              <w:left w:val="nil"/>
              <w:bottom w:val="single" w:color="auto" w:sz="4" w:space="0"/>
              <w:right w:val="single" w:color="auto" w:sz="4" w:space="0"/>
            </w:tcBorders>
            <w:vAlign w:val="center"/>
          </w:tcPr>
          <w:p w14:paraId="4A169209">
            <w:pPr>
              <w:pStyle w:val="15"/>
              <w:numPr>
                <w:ilvl w:val="0"/>
                <w:numId w:val="0"/>
              </w:numPr>
              <w:ind w:leftChars="0"/>
              <w:rPr>
                <w:rFonts w:hint="default" w:ascii="宋体" w:hAnsi="宋体" w:eastAsia="宋体" w:cs="宋体"/>
                <w:b w:val="0"/>
                <w:bCs w:val="0"/>
                <w:color w:val="auto"/>
                <w:kern w:val="2"/>
                <w:sz w:val="24"/>
                <w:szCs w:val="24"/>
                <w:lang w:val="en-US" w:eastAsia="zh-CN" w:bidi="ar-SA"/>
              </w:rPr>
            </w:pPr>
            <w:r>
              <w:rPr>
                <w:rFonts w:hint="eastAsia"/>
                <w:color w:val="auto"/>
                <w:sz w:val="28"/>
                <w:szCs w:val="28"/>
                <w:lang w:val="en-US" w:eastAsia="zh-CN"/>
              </w:rPr>
              <w:t>负责蒸发器与用汽设备的全部蒸汽管道连接、管道材质为304不锈钢，需加装不锈钢减压阀。</w:t>
            </w:r>
          </w:p>
        </w:tc>
      </w:tr>
      <w:tr w14:paraId="6DF8C819">
        <w:tblPrEx>
          <w:tblCellMar>
            <w:top w:w="0" w:type="dxa"/>
            <w:left w:w="108" w:type="dxa"/>
            <w:bottom w:w="0" w:type="dxa"/>
            <w:right w:w="108" w:type="dxa"/>
          </w:tblCellMar>
        </w:tblPrEx>
        <w:trPr>
          <w:trHeight w:val="1080" w:hRule="atLeast"/>
        </w:trPr>
        <w:tc>
          <w:tcPr>
            <w:tcW w:w="1440" w:type="dxa"/>
            <w:tcBorders>
              <w:top w:val="single" w:color="auto" w:sz="4" w:space="0"/>
              <w:left w:val="single" w:color="auto" w:sz="4" w:space="0"/>
              <w:bottom w:val="single" w:color="auto" w:sz="4" w:space="0"/>
              <w:right w:val="single" w:color="auto" w:sz="4" w:space="0"/>
            </w:tcBorders>
            <w:vAlign w:val="center"/>
          </w:tcPr>
          <w:p w14:paraId="2BBEA801">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60FE4237">
            <w:pPr>
              <w:pStyle w:val="15"/>
              <w:widowControl/>
              <w:ind w:firstLine="0" w:firstLineChars="0"/>
              <w:jc w:val="center"/>
              <w:rPr>
                <w:rFonts w:hint="default" w:ascii="宋体" w:hAnsi="宋体" w:eastAsia="宋体" w:cs="宋体"/>
                <w:color w:val="auto"/>
                <w:kern w:val="0"/>
                <w:sz w:val="24"/>
                <w:szCs w:val="24"/>
                <w:lang w:val="en-US" w:eastAsia="zh-CN" w:bidi="lo-LA"/>
              </w:rPr>
            </w:pPr>
            <w:r>
              <w:rPr>
                <w:rFonts w:hint="eastAsia" w:ascii="宋体" w:hAnsi="宋体" w:cs="宋体"/>
                <w:color w:val="auto"/>
                <w:kern w:val="0"/>
                <w:sz w:val="24"/>
                <w:szCs w:val="24"/>
                <w:lang w:val="en-US" w:eastAsia="zh-CN" w:bidi="lo-LA"/>
              </w:rPr>
              <w:t>15</w:t>
            </w:r>
          </w:p>
        </w:tc>
        <w:tc>
          <w:tcPr>
            <w:tcW w:w="7724" w:type="dxa"/>
            <w:tcBorders>
              <w:top w:val="single" w:color="auto" w:sz="4" w:space="0"/>
              <w:left w:val="nil"/>
              <w:bottom w:val="single" w:color="auto" w:sz="4" w:space="0"/>
              <w:right w:val="single" w:color="auto" w:sz="4" w:space="0"/>
            </w:tcBorders>
            <w:vAlign w:val="center"/>
          </w:tcPr>
          <w:p w14:paraId="27A43876">
            <w:pPr>
              <w:pStyle w:val="15"/>
              <w:numPr>
                <w:ilvl w:val="0"/>
                <w:numId w:val="0"/>
              </w:numPr>
              <w:ind w:leftChars="0"/>
              <w:rPr>
                <w:rFonts w:hint="default" w:eastAsia="宋体"/>
                <w:color w:val="auto"/>
                <w:sz w:val="28"/>
                <w:szCs w:val="28"/>
                <w:lang w:val="en-US" w:eastAsia="zh-CN"/>
              </w:rPr>
            </w:pPr>
            <w:r>
              <w:rPr>
                <w:rFonts w:hint="eastAsia"/>
                <w:color w:val="auto"/>
                <w:sz w:val="28"/>
                <w:szCs w:val="28"/>
                <w:lang w:val="en-US" w:eastAsia="zh-CN"/>
              </w:rPr>
              <w:t>负责安装蒸汽管道的保温，房间内的蒸汽管路的保温内外层为硅胶布可拆卸式反复使用，便于维修后的再次保温。</w:t>
            </w:r>
          </w:p>
        </w:tc>
      </w:tr>
      <w:tr w14:paraId="3FDA21B9">
        <w:tblPrEx>
          <w:tblCellMar>
            <w:top w:w="0" w:type="dxa"/>
            <w:left w:w="108" w:type="dxa"/>
            <w:bottom w:w="0" w:type="dxa"/>
            <w:right w:w="108" w:type="dxa"/>
          </w:tblCellMar>
        </w:tblPrEx>
        <w:trPr>
          <w:trHeight w:val="1080" w:hRule="atLeast"/>
        </w:trPr>
        <w:tc>
          <w:tcPr>
            <w:tcW w:w="1440" w:type="dxa"/>
            <w:tcBorders>
              <w:top w:val="single" w:color="auto" w:sz="4" w:space="0"/>
              <w:left w:val="single" w:color="auto" w:sz="4" w:space="0"/>
              <w:bottom w:val="single" w:color="auto" w:sz="4" w:space="0"/>
              <w:right w:val="single" w:color="auto" w:sz="4" w:space="0"/>
            </w:tcBorders>
            <w:vAlign w:val="center"/>
          </w:tcPr>
          <w:p w14:paraId="5F3DDE2A">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4DF9E590">
            <w:pPr>
              <w:pStyle w:val="15"/>
              <w:widowControl/>
              <w:ind w:firstLine="0" w:firstLineChars="0"/>
              <w:jc w:val="center"/>
              <w:rPr>
                <w:rFonts w:hint="default" w:ascii="宋体" w:hAnsi="宋体" w:cs="宋体"/>
                <w:color w:val="auto"/>
                <w:kern w:val="0"/>
                <w:sz w:val="24"/>
                <w:szCs w:val="24"/>
                <w:lang w:val="en-US" w:eastAsia="zh-CN" w:bidi="lo-LA"/>
              </w:rPr>
            </w:pPr>
            <w:r>
              <w:rPr>
                <w:rFonts w:hint="eastAsia" w:ascii="宋体" w:hAnsi="宋体" w:cs="宋体"/>
                <w:color w:val="auto"/>
                <w:kern w:val="0"/>
                <w:sz w:val="24"/>
                <w:szCs w:val="24"/>
                <w:lang w:val="en-US" w:eastAsia="zh-CN" w:bidi="lo-LA"/>
              </w:rPr>
              <w:t>16</w:t>
            </w:r>
          </w:p>
        </w:tc>
        <w:tc>
          <w:tcPr>
            <w:tcW w:w="7724" w:type="dxa"/>
            <w:tcBorders>
              <w:top w:val="single" w:color="auto" w:sz="4" w:space="0"/>
              <w:left w:val="nil"/>
              <w:bottom w:val="single" w:color="auto" w:sz="4" w:space="0"/>
              <w:right w:val="single" w:color="auto" w:sz="4" w:space="0"/>
            </w:tcBorders>
            <w:vAlign w:val="center"/>
          </w:tcPr>
          <w:p w14:paraId="126F4DE6">
            <w:pPr>
              <w:pStyle w:val="15"/>
              <w:numPr>
                <w:ilvl w:val="0"/>
                <w:numId w:val="0"/>
              </w:numPr>
              <w:ind w:leftChars="0"/>
              <w:rPr>
                <w:rFonts w:hint="default"/>
                <w:color w:val="auto"/>
                <w:sz w:val="28"/>
                <w:szCs w:val="28"/>
                <w:lang w:val="en-US" w:eastAsia="zh-CN"/>
              </w:rPr>
            </w:pPr>
            <w:r>
              <w:rPr>
                <w:rFonts w:hint="eastAsia"/>
                <w:color w:val="auto"/>
                <w:sz w:val="28"/>
                <w:szCs w:val="28"/>
                <w:lang w:val="en-US" w:eastAsia="zh-CN"/>
              </w:rPr>
              <w:t>负责配电室到蒸发器的电缆用电全部相关安装。</w:t>
            </w:r>
          </w:p>
        </w:tc>
      </w:tr>
      <w:tr w14:paraId="4964367B">
        <w:tblPrEx>
          <w:tblCellMar>
            <w:top w:w="0" w:type="dxa"/>
            <w:left w:w="108" w:type="dxa"/>
            <w:bottom w:w="0" w:type="dxa"/>
            <w:right w:w="108" w:type="dxa"/>
          </w:tblCellMar>
        </w:tblPrEx>
        <w:trPr>
          <w:trHeight w:val="1080" w:hRule="atLeast"/>
        </w:trPr>
        <w:tc>
          <w:tcPr>
            <w:tcW w:w="10016" w:type="dxa"/>
            <w:gridSpan w:val="3"/>
            <w:tcBorders>
              <w:top w:val="single" w:color="auto" w:sz="4" w:space="0"/>
              <w:left w:val="single" w:color="auto" w:sz="4" w:space="0"/>
              <w:bottom w:val="single" w:color="auto" w:sz="4" w:space="0"/>
              <w:right w:val="single" w:color="auto" w:sz="4" w:space="0"/>
            </w:tcBorders>
            <w:vAlign w:val="center"/>
          </w:tcPr>
          <w:p w14:paraId="46BFBB75">
            <w:pPr>
              <w:pStyle w:val="15"/>
              <w:numPr>
                <w:ilvl w:val="0"/>
                <w:numId w:val="0"/>
              </w:numPr>
              <w:ind w:leftChars="0"/>
              <w:rPr>
                <w:rFonts w:hint="default"/>
                <w:color w:val="auto"/>
                <w:sz w:val="28"/>
                <w:szCs w:val="28"/>
                <w:lang w:val="en-US" w:eastAsia="zh-CN"/>
              </w:rPr>
            </w:pPr>
            <w:r>
              <w:rPr>
                <w:rFonts w:hint="eastAsia"/>
                <w:color w:val="auto"/>
                <w:sz w:val="28"/>
                <w:szCs w:val="28"/>
                <w:lang w:val="en-US" w:eastAsia="zh-CN"/>
              </w:rPr>
              <w:t>注：所有技术参数标“</w:t>
            </w:r>
            <w:r>
              <w:rPr>
                <w:rFonts w:hint="eastAsia" w:ascii="宋体" w:hAnsi="宋体" w:eastAsia="宋体" w:cs="宋体"/>
                <w:color w:val="auto"/>
                <w:sz w:val="24"/>
                <w:szCs w:val="24"/>
                <w:lang w:bidi="lo-LA"/>
              </w:rPr>
              <w:t>★</w:t>
            </w:r>
            <w:r>
              <w:rPr>
                <w:rFonts w:hint="eastAsia"/>
                <w:color w:val="auto"/>
                <w:sz w:val="28"/>
                <w:szCs w:val="28"/>
                <w:lang w:val="en-US" w:eastAsia="zh-CN"/>
              </w:rPr>
              <w:t>”项为主要技术参数，任意1条不满足则导致响应无效</w:t>
            </w:r>
          </w:p>
        </w:tc>
      </w:tr>
    </w:tbl>
    <w:p w14:paraId="22F2D236">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77D18A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22E8BF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8D2F45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B8F440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ECCAAE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C322A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BCE88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A72265D">
      <w:pPr>
        <w:pStyle w:val="2"/>
        <w:rPr>
          <w:rFonts w:hint="eastAsia" w:ascii="宋体" w:hAnsi="宋体" w:eastAsia="宋体" w:cs="宋体"/>
          <w:b/>
          <w:bCs/>
          <w:sz w:val="28"/>
          <w:szCs w:val="28"/>
          <w:lang w:val="en-US" w:eastAsia="zh-CN"/>
        </w:rPr>
      </w:pPr>
    </w:p>
    <w:p w14:paraId="04B02447">
      <w:pPr>
        <w:pStyle w:val="3"/>
        <w:rPr>
          <w:rFonts w:hint="eastAsia" w:ascii="宋体" w:hAnsi="宋体" w:eastAsia="宋体" w:cs="宋体"/>
          <w:b/>
          <w:bCs/>
          <w:sz w:val="28"/>
          <w:szCs w:val="28"/>
          <w:lang w:val="en-US" w:eastAsia="zh-CN"/>
        </w:rPr>
      </w:pPr>
    </w:p>
    <w:p w14:paraId="3E69EB81">
      <w:pPr>
        <w:pStyle w:val="4"/>
        <w:rPr>
          <w:rFonts w:hint="eastAsia" w:ascii="宋体" w:hAnsi="宋体" w:eastAsia="宋体" w:cs="宋体"/>
          <w:b/>
          <w:bCs/>
          <w:sz w:val="28"/>
          <w:szCs w:val="28"/>
          <w:lang w:val="en-US" w:eastAsia="zh-CN"/>
        </w:rPr>
      </w:pPr>
    </w:p>
    <w:p w14:paraId="4FBB6327">
      <w:pPr>
        <w:rPr>
          <w:rFonts w:hint="eastAsia" w:ascii="宋体" w:hAnsi="宋体" w:eastAsia="宋体" w:cs="宋体"/>
          <w:b/>
          <w:bCs/>
          <w:sz w:val="28"/>
          <w:szCs w:val="28"/>
          <w:lang w:val="en-US" w:eastAsia="zh-CN"/>
        </w:rPr>
      </w:pPr>
    </w:p>
    <w:p w14:paraId="3FAA97A2">
      <w:pPr>
        <w:pStyle w:val="2"/>
        <w:rPr>
          <w:rFonts w:hint="eastAsia"/>
          <w:lang w:val="en-US" w:eastAsia="zh-CN"/>
        </w:rPr>
      </w:pPr>
    </w:p>
    <w:p w14:paraId="2C968DB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2"/>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7AC696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表2 综合评审表</w:t>
      </w:r>
    </w:p>
    <w:tbl>
      <w:tblPr>
        <w:tblStyle w:val="12"/>
        <w:tblW w:w="577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06"/>
        <w:gridCol w:w="1342"/>
        <w:gridCol w:w="1394"/>
        <w:gridCol w:w="6253"/>
      </w:tblGrid>
      <w:tr w14:paraId="3B588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blHeader/>
          <w:jc w:val="center"/>
        </w:trPr>
        <w:tc>
          <w:tcPr>
            <w:tcW w:w="316" w:type="pct"/>
            <w:noWrap w:val="0"/>
            <w:vAlign w:val="center"/>
          </w:tcPr>
          <w:p w14:paraId="5206E52A">
            <w:pPr>
              <w:pStyle w:val="28"/>
              <w:keepNext w:val="0"/>
              <w:keepLines w:val="0"/>
              <w:pageBreakBefore w:val="0"/>
              <w:widowControl w:val="0"/>
              <w:wordWrap/>
              <w:overflowPunct/>
              <w:topLinePunct w:val="0"/>
              <w:bidi w:val="0"/>
              <w:snapToGrid w:val="0"/>
              <w:spacing w:before="215"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bCs/>
                <w:color w:val="auto"/>
                <w:spacing w:val="-7"/>
              </w:rPr>
              <w:t>序号</w:t>
            </w:r>
          </w:p>
        </w:tc>
        <w:tc>
          <w:tcPr>
            <w:tcW w:w="699" w:type="pct"/>
            <w:noWrap w:val="0"/>
            <w:vAlign w:val="center"/>
          </w:tcPr>
          <w:p w14:paraId="6BC764BC">
            <w:pPr>
              <w:pStyle w:val="28"/>
              <w:keepNext w:val="0"/>
              <w:keepLines w:val="0"/>
              <w:pageBreakBefore w:val="0"/>
              <w:widowControl w:val="0"/>
              <w:wordWrap/>
              <w:overflowPunct/>
              <w:topLinePunct w:val="0"/>
              <w:bidi w:val="0"/>
              <w:snapToGrid w:val="0"/>
              <w:spacing w:before="215"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bCs/>
                <w:color w:val="auto"/>
                <w:spacing w:val="-5"/>
              </w:rPr>
              <w:t>评分项目</w:t>
            </w:r>
          </w:p>
        </w:tc>
        <w:tc>
          <w:tcPr>
            <w:tcW w:w="726" w:type="pct"/>
            <w:noWrap w:val="0"/>
            <w:vAlign w:val="center"/>
          </w:tcPr>
          <w:p w14:paraId="2596995F">
            <w:pPr>
              <w:pStyle w:val="28"/>
              <w:keepNext w:val="0"/>
              <w:keepLines w:val="0"/>
              <w:pageBreakBefore w:val="0"/>
              <w:widowControl w:val="0"/>
              <w:wordWrap/>
              <w:overflowPunct/>
              <w:topLinePunct w:val="0"/>
              <w:bidi w:val="0"/>
              <w:snapToGrid w:val="0"/>
              <w:spacing w:before="215"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bCs/>
                <w:color w:val="auto"/>
                <w:spacing w:val="-9"/>
              </w:rPr>
              <w:t>分值</w:t>
            </w:r>
          </w:p>
        </w:tc>
        <w:tc>
          <w:tcPr>
            <w:tcW w:w="3257" w:type="pct"/>
            <w:noWrap w:val="0"/>
            <w:vAlign w:val="center"/>
          </w:tcPr>
          <w:p w14:paraId="3346F4F9">
            <w:pPr>
              <w:pStyle w:val="28"/>
              <w:keepNext w:val="0"/>
              <w:keepLines w:val="0"/>
              <w:pageBreakBefore w:val="0"/>
              <w:widowControl w:val="0"/>
              <w:wordWrap/>
              <w:overflowPunct/>
              <w:topLinePunct w:val="0"/>
              <w:bidi w:val="0"/>
              <w:snapToGrid w:val="0"/>
              <w:spacing w:before="215"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bCs/>
                <w:color w:val="auto"/>
                <w:spacing w:val="-3"/>
              </w:rPr>
              <w:t>评审因素与评分标准</w:t>
            </w:r>
          </w:p>
        </w:tc>
      </w:tr>
      <w:tr w14:paraId="4F322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16" w:type="pct"/>
            <w:vMerge w:val="restart"/>
            <w:noWrap w:val="0"/>
            <w:vAlign w:val="center"/>
          </w:tcPr>
          <w:p w14:paraId="6565E8BF">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eastAsia="宋体" w:cs="宋体"/>
                <w:color w:val="auto"/>
                <w:sz w:val="24"/>
                <w:lang w:val="en-US" w:eastAsia="zh-CN"/>
              </w:rPr>
            </w:pPr>
            <w:r>
              <w:rPr>
                <w:rFonts w:hint="eastAsia" w:eastAsia="宋体" w:cs="宋体"/>
                <w:color w:val="auto"/>
                <w:sz w:val="24"/>
                <w:lang w:val="en-US" w:eastAsia="zh-CN"/>
              </w:rPr>
              <w:t>1</w:t>
            </w:r>
          </w:p>
          <w:p w14:paraId="29E92054">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 xml:space="preserve"> </w:t>
            </w:r>
          </w:p>
        </w:tc>
        <w:tc>
          <w:tcPr>
            <w:tcW w:w="699" w:type="pct"/>
            <w:vMerge w:val="restart"/>
            <w:shd w:val="clear" w:color="auto" w:fill="FFFFFF"/>
            <w:noWrap w:val="0"/>
            <w:vAlign w:val="center"/>
          </w:tcPr>
          <w:p w14:paraId="30AB3059">
            <w:pPr>
              <w:spacing w:line="360" w:lineRule="exact"/>
              <w:jc w:val="center"/>
              <w:rPr>
                <w:rFonts w:hint="eastAsia" w:ascii="宋体" w:hAnsi="宋体" w:eastAsia="宋体" w:cs="宋体"/>
                <w:color w:val="auto"/>
                <w:szCs w:val="21"/>
              </w:rPr>
            </w:pPr>
            <w:r>
              <w:rPr>
                <w:rFonts w:hint="eastAsia" w:ascii="宋体" w:hAnsi="宋体" w:eastAsia="宋体" w:cs="宋体"/>
                <w:color w:val="auto"/>
                <w:szCs w:val="21"/>
              </w:rPr>
              <w:t>商务部分</w:t>
            </w:r>
          </w:p>
          <w:p w14:paraId="6E411F47">
            <w:pPr>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20</w:t>
            </w:r>
            <w:r>
              <w:rPr>
                <w:rFonts w:hint="eastAsia" w:ascii="宋体" w:hAnsi="宋体" w:eastAsia="宋体" w:cs="宋体"/>
                <w:color w:val="auto"/>
                <w:szCs w:val="21"/>
              </w:rPr>
              <w:t>分）</w:t>
            </w:r>
          </w:p>
        </w:tc>
        <w:tc>
          <w:tcPr>
            <w:tcW w:w="726" w:type="pct"/>
            <w:shd w:val="clear" w:color="auto" w:fill="FFFFFF"/>
            <w:noWrap w:val="0"/>
            <w:vAlign w:val="center"/>
          </w:tcPr>
          <w:p w14:paraId="0A774285">
            <w:pPr>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管理体系认证（</w:t>
            </w:r>
            <w:r>
              <w:rPr>
                <w:rFonts w:hint="eastAsia" w:ascii="宋体" w:hAnsi="宋体" w:eastAsia="宋体" w:cs="宋体"/>
                <w:color w:val="auto"/>
                <w:szCs w:val="21"/>
                <w:lang w:val="en-US" w:eastAsia="zh-CN"/>
              </w:rPr>
              <w:t>5</w:t>
            </w:r>
            <w:r>
              <w:rPr>
                <w:rFonts w:hint="eastAsia" w:ascii="宋体" w:hAnsi="宋体" w:eastAsia="宋体" w:cs="宋体"/>
                <w:color w:val="auto"/>
                <w:szCs w:val="21"/>
              </w:rPr>
              <w:t>分）</w:t>
            </w:r>
          </w:p>
        </w:tc>
        <w:tc>
          <w:tcPr>
            <w:tcW w:w="3257" w:type="pct"/>
            <w:shd w:val="clear" w:color="auto" w:fill="FFFFFF"/>
            <w:noWrap w:val="0"/>
            <w:vAlign w:val="center"/>
          </w:tcPr>
          <w:p w14:paraId="55B814C5">
            <w:pPr>
              <w:spacing w:line="420" w:lineRule="exact"/>
              <w:rPr>
                <w:rFonts w:hint="eastAsia" w:ascii="宋体" w:hAnsi="宋体" w:eastAsia="宋体" w:cs="宋体"/>
                <w:color w:val="auto"/>
              </w:rPr>
            </w:pPr>
            <w:r>
              <w:rPr>
                <w:rFonts w:hint="eastAsia" w:ascii="宋体" w:hAnsi="宋体" w:eastAsia="宋体" w:cs="宋体"/>
                <w:color w:val="auto"/>
                <w:lang w:val="en-US" w:eastAsia="zh-CN"/>
              </w:rPr>
              <w:t>投标人或生产商</w:t>
            </w:r>
            <w:r>
              <w:rPr>
                <w:rFonts w:hint="eastAsia" w:ascii="宋体" w:hAnsi="宋体" w:eastAsia="宋体" w:cs="宋体"/>
                <w:color w:val="auto"/>
              </w:rPr>
              <w:t>具有以下认证证书：</w:t>
            </w:r>
          </w:p>
          <w:p w14:paraId="7091DDFA">
            <w:pPr>
              <w:spacing w:line="420" w:lineRule="exact"/>
              <w:rPr>
                <w:rFonts w:hint="default" w:ascii="宋体" w:hAnsi="宋体" w:eastAsia="宋体" w:cs="宋体"/>
                <w:color w:val="auto"/>
                <w:lang w:val="en-US" w:eastAsia="zh-CN"/>
              </w:rPr>
            </w:pPr>
            <w:r>
              <w:rPr>
                <w:rFonts w:hint="eastAsia" w:ascii="宋体" w:hAnsi="宋体" w:eastAsia="宋体" w:cs="宋体"/>
                <w:color w:val="auto"/>
              </w:rPr>
              <w:t>1.质量管理体系认证证书；</w:t>
            </w:r>
            <w:r>
              <w:rPr>
                <w:rFonts w:hint="eastAsia" w:ascii="宋体" w:hAnsi="宋体" w:eastAsia="宋体" w:cs="宋体"/>
                <w:color w:val="auto"/>
                <w:lang w:eastAsia="zh-CN"/>
              </w:rPr>
              <w:t>（</w:t>
            </w:r>
            <w:r>
              <w:rPr>
                <w:rFonts w:hint="eastAsia" w:ascii="宋体" w:hAnsi="宋体" w:eastAsia="宋体" w:cs="宋体"/>
                <w:color w:val="auto"/>
                <w:lang w:val="en-US" w:eastAsia="zh-CN"/>
              </w:rPr>
              <w:t>1分）</w:t>
            </w:r>
          </w:p>
          <w:p w14:paraId="510B49DF">
            <w:pPr>
              <w:spacing w:line="420" w:lineRule="exact"/>
              <w:rPr>
                <w:rFonts w:hint="eastAsia" w:ascii="宋体" w:hAnsi="宋体" w:eastAsia="宋体" w:cs="宋体"/>
                <w:color w:val="auto"/>
              </w:rPr>
            </w:pPr>
            <w:r>
              <w:rPr>
                <w:rFonts w:hint="eastAsia" w:ascii="宋体" w:hAnsi="宋体" w:eastAsia="宋体" w:cs="宋体"/>
                <w:color w:val="auto"/>
              </w:rPr>
              <w:t>2.环境管理体系认证证书；</w:t>
            </w:r>
            <w:r>
              <w:rPr>
                <w:rFonts w:hint="eastAsia" w:ascii="宋体" w:hAnsi="宋体" w:eastAsia="宋体" w:cs="宋体"/>
                <w:color w:val="auto"/>
                <w:lang w:eastAsia="zh-CN"/>
              </w:rPr>
              <w:t>（</w:t>
            </w:r>
            <w:r>
              <w:rPr>
                <w:rFonts w:hint="eastAsia" w:ascii="宋体" w:hAnsi="宋体" w:eastAsia="宋体" w:cs="宋体"/>
                <w:color w:val="auto"/>
                <w:lang w:val="en-US" w:eastAsia="zh-CN"/>
              </w:rPr>
              <w:t>2分）</w:t>
            </w:r>
          </w:p>
          <w:p w14:paraId="782BC112">
            <w:pPr>
              <w:spacing w:line="420" w:lineRule="exact"/>
              <w:rPr>
                <w:rFonts w:hint="eastAsia" w:ascii="宋体" w:hAnsi="宋体" w:eastAsia="宋体" w:cs="宋体"/>
                <w:color w:val="auto"/>
              </w:rPr>
            </w:pPr>
            <w:r>
              <w:rPr>
                <w:rFonts w:hint="eastAsia" w:ascii="宋体" w:hAnsi="宋体" w:eastAsia="宋体" w:cs="宋体"/>
                <w:color w:val="auto"/>
                <w:kern w:val="0"/>
                <w:szCs w:val="21"/>
              </w:rPr>
              <w:t>3.职业健康安全管理体系认证证书；</w:t>
            </w:r>
            <w:r>
              <w:rPr>
                <w:rFonts w:hint="eastAsia" w:ascii="宋体" w:hAnsi="宋体" w:eastAsia="宋体" w:cs="宋体"/>
                <w:color w:val="auto"/>
                <w:lang w:eastAsia="zh-CN"/>
              </w:rPr>
              <w:t>（</w:t>
            </w:r>
            <w:r>
              <w:rPr>
                <w:rFonts w:hint="eastAsia" w:ascii="宋体" w:hAnsi="宋体" w:eastAsia="宋体" w:cs="宋体"/>
                <w:color w:val="auto"/>
                <w:lang w:val="en-US" w:eastAsia="zh-CN"/>
              </w:rPr>
              <w:t>2分）</w:t>
            </w:r>
          </w:p>
          <w:p w14:paraId="655AA8A8">
            <w:pPr>
              <w:spacing w:line="360" w:lineRule="exact"/>
              <w:rPr>
                <w:rFonts w:hint="eastAsia" w:ascii="宋体" w:hAnsi="宋体" w:eastAsia="宋体" w:cs="宋体"/>
                <w:color w:val="auto"/>
                <w:kern w:val="2"/>
                <w:sz w:val="21"/>
                <w:szCs w:val="22"/>
                <w:lang w:val="en-US" w:eastAsia="zh-CN" w:bidi="ar-SA"/>
              </w:rPr>
            </w:pPr>
            <w:r>
              <w:rPr>
                <w:rFonts w:hint="eastAsia" w:ascii="宋体" w:hAnsi="宋体" w:eastAsia="宋体" w:cs="宋体"/>
                <w:color w:val="auto"/>
              </w:rPr>
              <w:t>注：提供认证证书复印件或全国认证认可信息公共服务平台网页截图或全国认证认可信息公共服务平台查询渠道并加盖供应商公章，否则不得分。</w:t>
            </w:r>
          </w:p>
        </w:tc>
      </w:tr>
      <w:tr w14:paraId="30118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16" w:type="pct"/>
            <w:vMerge w:val="continue"/>
            <w:noWrap w:val="0"/>
            <w:vAlign w:val="center"/>
          </w:tcPr>
          <w:p w14:paraId="08A3B6C8">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ascii="宋体" w:hAnsi="宋体" w:eastAsia="宋体" w:cs="宋体"/>
                <w:color w:val="auto"/>
                <w:sz w:val="24"/>
                <w:lang w:val="en-US" w:eastAsia="zh-CN"/>
              </w:rPr>
            </w:pPr>
          </w:p>
        </w:tc>
        <w:tc>
          <w:tcPr>
            <w:tcW w:w="699" w:type="pct"/>
            <w:vMerge w:val="continue"/>
            <w:noWrap w:val="0"/>
            <w:vAlign w:val="center"/>
          </w:tcPr>
          <w:p w14:paraId="21FE5366">
            <w:pPr>
              <w:keepNext w:val="0"/>
              <w:keepLines w:val="0"/>
              <w:pageBreakBefore w:val="0"/>
              <w:wordWrap/>
              <w:overflowPunct/>
              <w:topLinePunct w:val="0"/>
              <w:bidi w:val="0"/>
              <w:snapToGrid w:val="0"/>
              <w:spacing w:after="160" w:line="240" w:lineRule="auto"/>
              <w:ind w:left="0" w:leftChars="0" w:right="0" w:rightChars="0" w:firstLine="0" w:firstLineChars="0"/>
              <w:jc w:val="left"/>
              <w:rPr>
                <w:rFonts w:hint="eastAsia" w:ascii="宋体" w:hAnsi="宋体" w:eastAsia="宋体" w:cs="宋体"/>
                <w:snapToGrid w:val="0"/>
                <w:color w:val="auto"/>
                <w:kern w:val="0"/>
                <w:sz w:val="24"/>
              </w:rPr>
            </w:pPr>
          </w:p>
        </w:tc>
        <w:tc>
          <w:tcPr>
            <w:tcW w:w="726" w:type="pct"/>
            <w:shd w:val="clear" w:color="auto" w:fill="FFFFFF"/>
            <w:noWrap w:val="0"/>
            <w:vAlign w:val="center"/>
          </w:tcPr>
          <w:p w14:paraId="421A49CF">
            <w:pPr>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类似项目业绩（</w:t>
            </w:r>
            <w:r>
              <w:rPr>
                <w:rFonts w:hint="eastAsia" w:ascii="宋体" w:hAnsi="宋体" w:eastAsia="宋体" w:cs="宋体"/>
                <w:color w:val="auto"/>
                <w:szCs w:val="21"/>
                <w:lang w:val="en-US" w:eastAsia="zh-CN"/>
              </w:rPr>
              <w:t>15</w:t>
            </w:r>
            <w:r>
              <w:rPr>
                <w:rFonts w:hint="eastAsia" w:ascii="宋体" w:hAnsi="宋体" w:eastAsia="宋体" w:cs="宋体"/>
                <w:color w:val="auto"/>
                <w:szCs w:val="21"/>
              </w:rPr>
              <w:t>分）</w:t>
            </w:r>
          </w:p>
        </w:tc>
        <w:tc>
          <w:tcPr>
            <w:tcW w:w="3257" w:type="pct"/>
            <w:shd w:val="clear" w:color="auto" w:fill="FFFFFF"/>
            <w:noWrap w:val="0"/>
            <w:vAlign w:val="center"/>
          </w:tcPr>
          <w:p w14:paraId="2BA8CCF4">
            <w:pPr>
              <w:spacing w:line="360" w:lineRule="exact"/>
              <w:rPr>
                <w:rFonts w:hint="eastAsia" w:ascii="宋体" w:hAnsi="宋体" w:eastAsia="宋体" w:cs="宋体"/>
                <w:color w:val="auto"/>
                <w:szCs w:val="21"/>
              </w:rPr>
            </w:pPr>
            <w:r>
              <w:rPr>
                <w:rFonts w:hint="eastAsia" w:ascii="宋体" w:hAnsi="宋体" w:eastAsia="宋体" w:cs="宋体"/>
                <w:color w:val="auto"/>
                <w:szCs w:val="21"/>
              </w:rPr>
              <w:t>供应商具有自202</w:t>
            </w:r>
            <w:r>
              <w:rPr>
                <w:rFonts w:hint="eastAsia" w:ascii="宋体" w:hAnsi="宋体" w:eastAsia="宋体" w:cs="宋体"/>
                <w:color w:val="auto"/>
                <w:szCs w:val="21"/>
                <w:lang w:val="en-US" w:eastAsia="zh-CN"/>
              </w:rPr>
              <w:t>3</w:t>
            </w:r>
            <w:r>
              <w:rPr>
                <w:rFonts w:hint="eastAsia" w:ascii="宋体" w:hAnsi="宋体" w:eastAsia="宋体" w:cs="宋体"/>
                <w:color w:val="auto"/>
                <w:szCs w:val="21"/>
              </w:rPr>
              <w:t>年1</w:t>
            </w:r>
            <w:r>
              <w:rPr>
                <w:rFonts w:hint="eastAsia" w:ascii="宋体" w:hAnsi="宋体" w:eastAsia="宋体" w:cs="宋体"/>
                <w:color w:val="auto"/>
                <w:szCs w:val="21"/>
                <w:lang w:val="en-US" w:eastAsia="zh-CN"/>
              </w:rPr>
              <w:t>0</w:t>
            </w:r>
            <w:r>
              <w:rPr>
                <w:rFonts w:hint="eastAsia" w:ascii="宋体" w:hAnsi="宋体" w:eastAsia="宋体" w:cs="宋体"/>
                <w:color w:val="auto"/>
                <w:szCs w:val="21"/>
              </w:rPr>
              <w:t>月1日起至今（以合同签订时间为准）承担过与本项目</w:t>
            </w:r>
            <w:r>
              <w:rPr>
                <w:rFonts w:hint="eastAsia" w:ascii="宋体" w:hAnsi="宋体" w:eastAsia="宋体" w:cs="宋体"/>
                <w:color w:val="auto"/>
                <w:szCs w:val="21"/>
                <w:lang w:val="en-US" w:eastAsia="zh-CN"/>
              </w:rPr>
              <w:t>类似</w:t>
            </w:r>
            <w:r>
              <w:rPr>
                <w:rFonts w:hint="eastAsia" w:ascii="宋体" w:hAnsi="宋体" w:eastAsia="宋体" w:cs="宋体"/>
                <w:color w:val="auto"/>
                <w:szCs w:val="21"/>
              </w:rPr>
              <w:t>（</w:t>
            </w:r>
            <w:r>
              <w:rPr>
                <w:rFonts w:hint="eastAsia" w:ascii="宋体" w:hAnsi="宋体" w:eastAsia="宋体" w:cs="宋体"/>
                <w:color w:val="auto"/>
                <w:szCs w:val="21"/>
                <w:lang w:val="en-US" w:eastAsia="zh-CN"/>
              </w:rPr>
              <w:t>在医院实施的</w:t>
            </w:r>
            <w:r>
              <w:rPr>
                <w:rFonts w:hint="eastAsia" w:ascii="宋体" w:hAnsi="宋体" w:eastAsia="宋体" w:cs="宋体"/>
                <w:color w:val="auto"/>
                <w:szCs w:val="21"/>
              </w:rPr>
              <w:t>蒸发器项目）的业绩，每满足一项得</w:t>
            </w:r>
            <w:r>
              <w:rPr>
                <w:rFonts w:hint="eastAsia" w:ascii="宋体" w:hAnsi="宋体" w:eastAsia="宋体" w:cs="宋体"/>
                <w:color w:val="auto"/>
                <w:szCs w:val="21"/>
                <w:lang w:val="en-US" w:eastAsia="zh-CN"/>
              </w:rPr>
              <w:t>5</w:t>
            </w:r>
            <w:r>
              <w:rPr>
                <w:rFonts w:hint="eastAsia" w:ascii="宋体" w:hAnsi="宋体" w:eastAsia="宋体" w:cs="宋体"/>
                <w:color w:val="auto"/>
                <w:szCs w:val="21"/>
              </w:rPr>
              <w:t>分，最高得</w:t>
            </w:r>
            <w:r>
              <w:rPr>
                <w:rFonts w:hint="eastAsia" w:ascii="宋体" w:hAnsi="宋体" w:eastAsia="宋体" w:cs="宋体"/>
                <w:color w:val="auto"/>
                <w:szCs w:val="21"/>
                <w:lang w:val="en-US" w:eastAsia="zh-CN"/>
              </w:rPr>
              <w:t>15</w:t>
            </w:r>
            <w:r>
              <w:rPr>
                <w:rFonts w:hint="eastAsia" w:ascii="宋体" w:hAnsi="宋体" w:eastAsia="宋体" w:cs="宋体"/>
                <w:color w:val="auto"/>
                <w:szCs w:val="21"/>
              </w:rPr>
              <w:t>分。</w:t>
            </w:r>
          </w:p>
          <w:p w14:paraId="5505F6E9">
            <w:pPr>
              <w:spacing w:line="36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注：以上业绩需提供合同（包括首页、合同内容描述页及合同盖章页）复印件并加盖供应商公章；合同中的合同乙方必须与供应商的名称完全一致，如公司名称发生变更，必须提供市场监管部门或事业单位登记管理部门的证明文件。</w:t>
            </w:r>
          </w:p>
        </w:tc>
      </w:tr>
      <w:tr w14:paraId="5535C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16" w:type="pct"/>
            <w:vMerge w:val="restart"/>
            <w:noWrap w:val="0"/>
            <w:vAlign w:val="center"/>
          </w:tcPr>
          <w:p w14:paraId="449CE4D1">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ascii="宋体" w:hAnsi="宋体" w:eastAsia="宋体" w:cs="宋体"/>
                <w:color w:val="auto"/>
                <w:sz w:val="24"/>
                <w:lang w:val="en-US" w:eastAsia="zh-CN"/>
              </w:rPr>
            </w:pPr>
          </w:p>
          <w:p w14:paraId="153EC100">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ascii="宋体" w:hAnsi="宋体" w:eastAsia="宋体" w:cs="宋体"/>
                <w:color w:val="auto"/>
                <w:sz w:val="24"/>
                <w:lang w:val="en-US" w:eastAsia="zh-CN"/>
              </w:rPr>
            </w:pPr>
          </w:p>
          <w:p w14:paraId="3BB49ED9">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ascii="宋体" w:hAnsi="宋体" w:eastAsia="宋体" w:cs="宋体"/>
                <w:color w:val="auto"/>
                <w:sz w:val="24"/>
                <w:lang w:val="en-US" w:eastAsia="zh-CN"/>
              </w:rPr>
            </w:pPr>
            <w:r>
              <w:rPr>
                <w:rFonts w:hint="eastAsia" w:eastAsia="宋体" w:cs="宋体"/>
                <w:color w:val="auto"/>
                <w:sz w:val="24"/>
                <w:lang w:val="en-US" w:eastAsia="zh-CN"/>
              </w:rPr>
              <w:t>2</w:t>
            </w:r>
            <w:r>
              <w:rPr>
                <w:rFonts w:hint="eastAsia" w:ascii="宋体" w:hAnsi="宋体" w:eastAsia="宋体" w:cs="宋体"/>
                <w:color w:val="auto"/>
                <w:sz w:val="24"/>
                <w:lang w:val="en-US" w:eastAsia="zh-CN"/>
              </w:rPr>
              <w:t xml:space="preserve"> </w:t>
            </w:r>
          </w:p>
          <w:p w14:paraId="426163AD">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 xml:space="preserve"> </w:t>
            </w:r>
          </w:p>
        </w:tc>
        <w:tc>
          <w:tcPr>
            <w:tcW w:w="699" w:type="pct"/>
            <w:vMerge w:val="restart"/>
            <w:shd w:val="clear" w:color="auto" w:fill="FFFFFF"/>
            <w:noWrap w:val="0"/>
            <w:vAlign w:val="center"/>
          </w:tcPr>
          <w:p w14:paraId="7B8A1C2E">
            <w:pPr>
              <w:spacing w:line="360" w:lineRule="exact"/>
              <w:jc w:val="center"/>
              <w:rPr>
                <w:rFonts w:hint="eastAsia" w:ascii="宋体" w:hAnsi="宋体" w:eastAsia="宋体" w:cs="宋体"/>
                <w:color w:val="auto"/>
                <w:szCs w:val="21"/>
              </w:rPr>
            </w:pPr>
            <w:r>
              <w:rPr>
                <w:rFonts w:hint="eastAsia" w:ascii="宋体" w:hAnsi="宋体" w:eastAsia="宋体" w:cs="宋体"/>
                <w:color w:val="auto"/>
                <w:szCs w:val="21"/>
              </w:rPr>
              <w:t>技术部分</w:t>
            </w:r>
          </w:p>
          <w:p w14:paraId="54EB2F1A">
            <w:pPr>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60</w:t>
            </w:r>
            <w:r>
              <w:rPr>
                <w:rFonts w:hint="eastAsia" w:ascii="宋体" w:hAnsi="宋体" w:eastAsia="宋体" w:cs="宋体"/>
                <w:color w:val="auto"/>
                <w:szCs w:val="21"/>
              </w:rPr>
              <w:t>分）</w:t>
            </w:r>
          </w:p>
        </w:tc>
        <w:tc>
          <w:tcPr>
            <w:tcW w:w="726" w:type="pct"/>
            <w:shd w:val="clear" w:color="auto" w:fill="FFFFFF"/>
            <w:noWrap w:val="0"/>
            <w:vAlign w:val="center"/>
          </w:tcPr>
          <w:p w14:paraId="7796B8D0">
            <w:pPr>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产品总体设计和性能（</w:t>
            </w:r>
            <w:r>
              <w:rPr>
                <w:rFonts w:hint="eastAsia" w:ascii="宋体" w:hAnsi="宋体" w:eastAsia="宋体" w:cs="宋体"/>
                <w:color w:val="auto"/>
                <w:szCs w:val="21"/>
                <w:lang w:val="en-US" w:eastAsia="zh-CN"/>
              </w:rPr>
              <w:t>10</w:t>
            </w:r>
            <w:r>
              <w:rPr>
                <w:rFonts w:hint="eastAsia" w:ascii="宋体" w:hAnsi="宋体" w:eastAsia="宋体" w:cs="宋体"/>
                <w:color w:val="auto"/>
                <w:szCs w:val="21"/>
              </w:rPr>
              <w:t>分）</w:t>
            </w:r>
          </w:p>
        </w:tc>
        <w:tc>
          <w:tcPr>
            <w:tcW w:w="3257" w:type="pct"/>
            <w:shd w:val="clear" w:color="auto" w:fill="FFFFFF"/>
            <w:noWrap w:val="0"/>
            <w:vAlign w:val="center"/>
          </w:tcPr>
          <w:p w14:paraId="3270D24B">
            <w:p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针对产品总体设计和性能等进行编制，包括但不限于①总体设计方案②整体性能、功能③技术和工艺先进、质量可靠④安全性等。提供方案者即得基础分7分。 额外加分标准：</w:t>
            </w:r>
          </w:p>
          <w:p w14:paraId="549F9EE5">
            <w:pPr>
              <w:numPr>
                <w:ilvl w:val="0"/>
                <w:numId w:val="5"/>
              </w:num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投标文件的内容完整、科学有效性、有针对性及编制水平高，全部技术参数都满足，得3分。</w:t>
            </w:r>
          </w:p>
          <w:p w14:paraId="22F2B1AF">
            <w:pPr>
              <w:numPr>
                <w:ilvl w:val="0"/>
                <w:numId w:val="5"/>
              </w:numPr>
              <w:spacing w:line="360" w:lineRule="exact"/>
              <w:ind w:left="0" w:leftChars="0" w:firstLine="0" w:firstLineChars="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投标文件的内容完整性较好，科学有效性、有针对性，编制水平较好，技术参数大部分满足，得2分。 </w:t>
            </w:r>
          </w:p>
          <w:p w14:paraId="5DC21AA0">
            <w:pPr>
              <w:numPr>
                <w:ilvl w:val="0"/>
                <w:numId w:val="5"/>
              </w:numPr>
              <w:spacing w:line="360" w:lineRule="exact"/>
              <w:ind w:left="0" w:leftChars="0" w:firstLine="0" w:firstLineChars="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投标文件的内容不完整，科学有效性、有针对性体现较一般，编制水平较一般，技术参数小部分满足，得1分。 </w:t>
            </w:r>
          </w:p>
          <w:p w14:paraId="4D6B5DB2">
            <w:pPr>
              <w:numPr>
                <w:ilvl w:val="0"/>
                <w:numId w:val="0"/>
              </w:numPr>
              <w:spacing w:line="360" w:lineRule="exact"/>
              <w:ind w:left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lang w:val="en-US" w:eastAsia="zh-CN"/>
              </w:rPr>
              <w:t>4.未提供不得分</w:t>
            </w:r>
            <w:r>
              <w:rPr>
                <w:rFonts w:hint="eastAsia" w:ascii="宋体" w:hAnsi="宋体" w:eastAsia="宋体" w:cs="宋体"/>
                <w:color w:val="auto"/>
                <w:sz w:val="20"/>
                <w:szCs w:val="20"/>
                <w:lang w:val="en-US" w:eastAsia="zh-CN"/>
              </w:rPr>
              <w:t xml:space="preserve">。 </w:t>
            </w:r>
          </w:p>
        </w:tc>
      </w:tr>
      <w:tr w14:paraId="7E958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16" w:type="pct"/>
            <w:vMerge w:val="continue"/>
            <w:noWrap w:val="0"/>
            <w:vAlign w:val="center"/>
          </w:tcPr>
          <w:p w14:paraId="4291F408">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ascii="宋体" w:hAnsi="宋体" w:eastAsia="宋体" w:cs="宋体"/>
                <w:color w:val="auto"/>
                <w:sz w:val="24"/>
                <w:lang w:val="en-US" w:eastAsia="zh-CN"/>
              </w:rPr>
            </w:pPr>
          </w:p>
        </w:tc>
        <w:tc>
          <w:tcPr>
            <w:tcW w:w="699" w:type="pct"/>
            <w:vMerge w:val="continue"/>
            <w:noWrap w:val="0"/>
            <w:vAlign w:val="center"/>
          </w:tcPr>
          <w:p w14:paraId="1ED52E05">
            <w:pPr>
              <w:keepNext w:val="0"/>
              <w:keepLines w:val="0"/>
              <w:pageBreakBefore w:val="0"/>
              <w:wordWrap/>
              <w:overflowPunct/>
              <w:topLinePunct w:val="0"/>
              <w:bidi w:val="0"/>
              <w:snapToGrid w:val="0"/>
              <w:spacing w:after="160" w:line="240" w:lineRule="auto"/>
              <w:ind w:left="0" w:leftChars="0" w:right="0" w:rightChars="0" w:firstLine="0" w:firstLineChars="0"/>
              <w:jc w:val="left"/>
              <w:rPr>
                <w:rFonts w:hint="eastAsia" w:ascii="宋体" w:hAnsi="宋体" w:eastAsia="宋体" w:cs="宋体"/>
                <w:snapToGrid w:val="0"/>
                <w:color w:val="auto"/>
                <w:kern w:val="0"/>
                <w:sz w:val="24"/>
                <w:lang w:eastAsia="en-US"/>
              </w:rPr>
            </w:pPr>
          </w:p>
        </w:tc>
        <w:tc>
          <w:tcPr>
            <w:tcW w:w="726" w:type="pct"/>
            <w:shd w:val="clear" w:color="auto" w:fill="FFFFFF"/>
            <w:noWrap w:val="0"/>
            <w:vAlign w:val="center"/>
          </w:tcPr>
          <w:p w14:paraId="64EDC412">
            <w:pPr>
              <w:spacing w:line="360" w:lineRule="exact"/>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Cs w:val="21"/>
              </w:rPr>
              <w:t>技术指标项评价（</w:t>
            </w:r>
            <w:r>
              <w:rPr>
                <w:rFonts w:hint="eastAsia" w:ascii="宋体" w:hAnsi="宋体" w:eastAsia="宋体" w:cs="宋体"/>
                <w:color w:val="auto"/>
                <w:szCs w:val="21"/>
                <w:lang w:val="en-US" w:eastAsia="zh-CN"/>
              </w:rPr>
              <w:t>24</w:t>
            </w:r>
            <w:r>
              <w:rPr>
                <w:rFonts w:hint="eastAsia" w:ascii="宋体" w:hAnsi="宋体" w:eastAsia="宋体" w:cs="宋体"/>
                <w:color w:val="auto"/>
                <w:szCs w:val="21"/>
              </w:rPr>
              <w:t>分）</w:t>
            </w:r>
          </w:p>
        </w:tc>
        <w:tc>
          <w:tcPr>
            <w:tcW w:w="3257" w:type="pct"/>
            <w:shd w:val="clear" w:color="auto" w:fill="FFFFFF"/>
            <w:noWrap w:val="0"/>
            <w:vAlign w:val="center"/>
          </w:tcPr>
          <w:p w14:paraId="7642906F">
            <w:pPr>
              <w:spacing w:line="36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所有产品一般技术参数指标（非“★”项）完全响应招标文件要求的得</w:t>
            </w:r>
            <w:r>
              <w:rPr>
                <w:rFonts w:hint="eastAsia" w:ascii="宋体" w:hAnsi="宋体" w:eastAsia="宋体" w:cs="宋体"/>
                <w:color w:val="auto"/>
                <w:szCs w:val="21"/>
                <w:lang w:val="en-US" w:eastAsia="zh-CN"/>
              </w:rPr>
              <w:t>24</w:t>
            </w:r>
            <w:r>
              <w:rPr>
                <w:rFonts w:hint="eastAsia" w:ascii="宋体" w:hAnsi="宋体" w:eastAsia="宋体" w:cs="宋体"/>
                <w:color w:val="auto"/>
                <w:szCs w:val="21"/>
              </w:rPr>
              <w:t>分，每有一项不满足或负偏离扣</w:t>
            </w:r>
            <w:r>
              <w:rPr>
                <w:rFonts w:hint="eastAsia" w:ascii="宋体" w:hAnsi="宋体" w:eastAsia="宋体" w:cs="宋体"/>
                <w:color w:val="auto"/>
                <w:szCs w:val="21"/>
                <w:lang w:val="en-US" w:eastAsia="zh-CN"/>
              </w:rPr>
              <w:t>2</w:t>
            </w:r>
            <w:r>
              <w:rPr>
                <w:rFonts w:hint="eastAsia" w:ascii="宋体" w:hAnsi="宋体" w:eastAsia="宋体" w:cs="宋体"/>
                <w:color w:val="auto"/>
                <w:szCs w:val="21"/>
              </w:rPr>
              <w:t>分，分值扣完为止。</w:t>
            </w:r>
          </w:p>
        </w:tc>
      </w:tr>
      <w:tr w14:paraId="3890B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16" w:type="pct"/>
            <w:vMerge w:val="continue"/>
            <w:noWrap w:val="0"/>
            <w:vAlign w:val="center"/>
          </w:tcPr>
          <w:p w14:paraId="3296083A">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ascii="宋体" w:hAnsi="宋体" w:eastAsia="宋体" w:cs="宋体"/>
                <w:color w:val="auto"/>
                <w:sz w:val="24"/>
                <w:lang w:val="en-US" w:eastAsia="zh-CN"/>
              </w:rPr>
            </w:pPr>
          </w:p>
        </w:tc>
        <w:tc>
          <w:tcPr>
            <w:tcW w:w="699" w:type="pct"/>
            <w:vMerge w:val="continue"/>
            <w:noWrap w:val="0"/>
            <w:vAlign w:val="center"/>
          </w:tcPr>
          <w:p w14:paraId="21545851">
            <w:pPr>
              <w:keepNext w:val="0"/>
              <w:keepLines w:val="0"/>
              <w:pageBreakBefore w:val="0"/>
              <w:wordWrap/>
              <w:overflowPunct/>
              <w:topLinePunct w:val="0"/>
              <w:bidi w:val="0"/>
              <w:snapToGrid w:val="0"/>
              <w:spacing w:after="160" w:line="240" w:lineRule="auto"/>
              <w:ind w:left="0" w:leftChars="0" w:right="0" w:rightChars="0" w:firstLine="0" w:firstLineChars="0"/>
              <w:jc w:val="left"/>
              <w:rPr>
                <w:rFonts w:hint="eastAsia" w:ascii="宋体" w:hAnsi="宋体" w:eastAsia="宋体" w:cs="宋体"/>
                <w:snapToGrid w:val="0"/>
                <w:color w:val="auto"/>
                <w:kern w:val="0"/>
                <w:sz w:val="24"/>
                <w:lang w:eastAsia="en-US"/>
              </w:rPr>
            </w:pPr>
          </w:p>
        </w:tc>
        <w:tc>
          <w:tcPr>
            <w:tcW w:w="726" w:type="pct"/>
            <w:shd w:val="clear" w:color="auto" w:fill="FFFFFF"/>
            <w:noWrap w:val="0"/>
            <w:vAlign w:val="center"/>
          </w:tcPr>
          <w:p w14:paraId="21AD8AD8">
            <w:pPr>
              <w:spacing w:line="360" w:lineRule="exact"/>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Cs w:val="21"/>
              </w:rPr>
              <w:t>实施方案（1</w:t>
            </w:r>
            <w:r>
              <w:rPr>
                <w:rFonts w:hint="eastAsia" w:ascii="宋体" w:hAnsi="宋体" w:eastAsia="宋体" w:cs="宋体"/>
                <w:color w:val="auto"/>
                <w:szCs w:val="21"/>
                <w:lang w:val="en-US" w:eastAsia="zh-CN"/>
              </w:rPr>
              <w:t>2</w:t>
            </w:r>
            <w:r>
              <w:rPr>
                <w:rFonts w:hint="eastAsia" w:ascii="宋体" w:hAnsi="宋体" w:eastAsia="宋体" w:cs="宋体"/>
                <w:color w:val="auto"/>
                <w:szCs w:val="21"/>
              </w:rPr>
              <w:t>分）</w:t>
            </w:r>
          </w:p>
        </w:tc>
        <w:tc>
          <w:tcPr>
            <w:tcW w:w="3257" w:type="pct"/>
            <w:shd w:val="clear" w:color="auto" w:fill="FFFFFF"/>
            <w:noWrap w:val="0"/>
            <w:vAlign w:val="center"/>
          </w:tcPr>
          <w:p w14:paraId="2E9BB1D2">
            <w:p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针对实施方案进行编制，包括但不限于①质量保证措施②项目进度控制措施及供货方案③产品验收方案。提供方案者即得基础分9分。 额外加分标准：1.每有一项内容进行了详细阐述且科学合理针对性强、完全满足采购需求的，得3分； </w:t>
            </w:r>
          </w:p>
          <w:p w14:paraId="756B15FE">
            <w:p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2.每有一项内容虽然进行了阐述但并未完全满足采购需求，或未包括细节或欠科学合理或缺乏针对性的，得2分； </w:t>
            </w:r>
          </w:p>
          <w:p w14:paraId="507FA5E6">
            <w:p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3.投标文件的内容不完整，科学有效性、有针对性体现较一般，编制水平较一般，得1分。</w:t>
            </w:r>
          </w:p>
          <w:p w14:paraId="15ECDEB4">
            <w:pPr>
              <w:spacing w:line="360" w:lineRule="exact"/>
              <w:rPr>
                <w:rFonts w:hint="eastAsia" w:ascii="宋体" w:hAnsi="宋体" w:eastAsia="宋体" w:cs="宋体"/>
                <w:color w:val="auto"/>
                <w:szCs w:val="21"/>
                <w:highlight w:val="green"/>
                <w:lang w:eastAsia="zh-CN"/>
              </w:rPr>
            </w:pPr>
            <w:r>
              <w:rPr>
                <w:rFonts w:hint="eastAsia" w:ascii="宋体" w:hAnsi="宋体" w:eastAsia="宋体" w:cs="宋体"/>
                <w:color w:val="auto"/>
                <w:szCs w:val="21"/>
                <w:lang w:val="en-US" w:eastAsia="zh-CN"/>
              </w:rPr>
              <w:t xml:space="preserve"> 4.未提供不得分。 </w:t>
            </w:r>
          </w:p>
          <w:p w14:paraId="3614A91B">
            <w:pPr>
              <w:spacing w:line="360" w:lineRule="exact"/>
              <w:rPr>
                <w:rFonts w:hint="eastAsia" w:ascii="宋体" w:hAnsi="宋体" w:eastAsia="宋体" w:cs="宋体"/>
                <w:color w:val="auto"/>
                <w:kern w:val="2"/>
                <w:sz w:val="21"/>
                <w:szCs w:val="21"/>
                <w:lang w:val="en-US" w:eastAsia="zh-CN" w:bidi="ar-SA"/>
              </w:rPr>
            </w:pPr>
          </w:p>
        </w:tc>
      </w:tr>
      <w:tr w14:paraId="73C14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16" w:type="pct"/>
            <w:vMerge w:val="continue"/>
          </w:tcPr>
          <w:p w14:paraId="31CBD53E">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ascii="宋体" w:hAnsi="宋体" w:eastAsia="宋体" w:cs="宋体"/>
                <w:color w:val="auto"/>
                <w:sz w:val="24"/>
                <w:lang w:val="en-US" w:eastAsia="zh-CN"/>
              </w:rPr>
            </w:pPr>
          </w:p>
        </w:tc>
        <w:tc>
          <w:tcPr>
            <w:tcW w:w="699" w:type="pct"/>
            <w:vMerge w:val="continue"/>
          </w:tcPr>
          <w:p w14:paraId="3BCEC240">
            <w:pPr>
              <w:keepNext w:val="0"/>
              <w:keepLines w:val="0"/>
              <w:pageBreakBefore w:val="0"/>
              <w:wordWrap/>
              <w:overflowPunct/>
              <w:topLinePunct w:val="0"/>
              <w:bidi w:val="0"/>
              <w:snapToGrid w:val="0"/>
              <w:spacing w:after="160" w:line="240" w:lineRule="auto"/>
              <w:ind w:left="0" w:leftChars="0" w:right="0" w:rightChars="0" w:firstLine="0" w:firstLineChars="0"/>
              <w:jc w:val="left"/>
              <w:rPr>
                <w:rFonts w:hint="eastAsia" w:ascii="宋体" w:hAnsi="宋体" w:eastAsia="宋体" w:cs="宋体"/>
                <w:snapToGrid w:val="0"/>
                <w:color w:val="auto"/>
                <w:kern w:val="0"/>
                <w:sz w:val="24"/>
                <w:lang w:eastAsia="en-US"/>
              </w:rPr>
            </w:pPr>
          </w:p>
        </w:tc>
        <w:tc>
          <w:tcPr>
            <w:tcW w:w="726" w:type="pct"/>
            <w:shd w:val="clear" w:color="auto" w:fill="FFFFFF"/>
            <w:vAlign w:val="center"/>
          </w:tcPr>
          <w:p w14:paraId="1B72BA1F">
            <w:pPr>
              <w:spacing w:line="360" w:lineRule="exact"/>
              <w:jc w:val="center"/>
              <w:rPr>
                <w:rFonts w:hint="eastAsia" w:ascii="宋体" w:hAnsi="宋体" w:eastAsia="宋体" w:cs="宋体"/>
                <w:color w:val="auto"/>
                <w:szCs w:val="21"/>
              </w:rPr>
            </w:pPr>
            <w:r>
              <w:rPr>
                <w:rFonts w:hint="eastAsia" w:ascii="宋体" w:hAnsi="宋体" w:eastAsia="宋体" w:cs="宋体"/>
                <w:color w:val="auto"/>
                <w:szCs w:val="21"/>
              </w:rPr>
              <w:t>人员配置及分工方案（</w:t>
            </w:r>
            <w:r>
              <w:rPr>
                <w:rFonts w:hint="eastAsia" w:ascii="宋体" w:hAnsi="宋体" w:eastAsia="宋体" w:cs="宋体"/>
                <w:color w:val="auto"/>
                <w:szCs w:val="21"/>
                <w:lang w:val="en-US" w:eastAsia="zh-CN"/>
              </w:rPr>
              <w:t>6</w:t>
            </w:r>
            <w:r>
              <w:rPr>
                <w:rFonts w:hint="eastAsia" w:ascii="宋体" w:hAnsi="宋体" w:eastAsia="宋体" w:cs="宋体"/>
                <w:color w:val="auto"/>
                <w:szCs w:val="21"/>
              </w:rPr>
              <w:t>分）</w:t>
            </w:r>
          </w:p>
          <w:p w14:paraId="17D85558">
            <w:pPr>
              <w:tabs>
                <w:tab w:val="left" w:pos="382"/>
              </w:tabs>
              <w:spacing w:line="360" w:lineRule="exact"/>
              <w:jc w:val="left"/>
              <w:rPr>
                <w:rFonts w:hint="eastAsia" w:ascii="宋体" w:hAnsi="宋体" w:eastAsia="宋体" w:cs="宋体"/>
                <w:color w:val="auto"/>
                <w:kern w:val="2"/>
                <w:sz w:val="21"/>
                <w:szCs w:val="21"/>
                <w:lang w:val="en-US" w:eastAsia="en-US" w:bidi="ar-SA"/>
              </w:rPr>
            </w:pPr>
          </w:p>
        </w:tc>
        <w:tc>
          <w:tcPr>
            <w:tcW w:w="0" w:type="auto"/>
            <w:shd w:val="clear" w:color="auto" w:fill="FFFFFF"/>
            <w:vAlign w:val="center"/>
          </w:tcPr>
          <w:p w14:paraId="2947A179">
            <w:p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根据供应商对项目的人员配置、岗位设置、职责分工的合理性、与服务需求的契合度等因素评分，提供方案者即得基础分3分。额外加分标准：</w:t>
            </w:r>
          </w:p>
          <w:p w14:paraId="53714340">
            <w:pPr>
              <w:numPr>
                <w:ilvl w:val="0"/>
                <w:numId w:val="6"/>
              </w:num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投标文件的内容完整、科学有效性、有针对性及编制水平高得3分。</w:t>
            </w:r>
          </w:p>
          <w:p w14:paraId="47FF5916">
            <w:pPr>
              <w:numPr>
                <w:ilvl w:val="0"/>
                <w:numId w:val="6"/>
              </w:numPr>
              <w:spacing w:line="360" w:lineRule="exact"/>
              <w:ind w:left="0" w:leftChars="0" w:firstLine="0" w:firstLineChars="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投标文件的内容完整性较好，科学有效性、有针对性，编制水平较好得2分。 </w:t>
            </w:r>
          </w:p>
          <w:p w14:paraId="769F9485">
            <w:pPr>
              <w:numPr>
                <w:ilvl w:val="0"/>
                <w:numId w:val="6"/>
              </w:numPr>
              <w:spacing w:line="360" w:lineRule="exact"/>
              <w:ind w:left="0" w:leftChars="0" w:firstLine="0" w:firstLineChars="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投标文件的内容不完整，科学有效性、有针对性体现较一般，编制水平较一般，得1分。</w:t>
            </w:r>
          </w:p>
          <w:p w14:paraId="17613C4D">
            <w:pPr>
              <w:numPr>
                <w:ilvl w:val="0"/>
                <w:numId w:val="0"/>
              </w:numPr>
              <w:spacing w:line="360" w:lineRule="exact"/>
              <w:ind w:leftChars="0"/>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 4.未提供不得分</w:t>
            </w:r>
            <w:r>
              <w:rPr>
                <w:rFonts w:hint="eastAsia" w:ascii="宋体" w:hAnsi="宋体" w:eastAsia="宋体" w:cs="宋体"/>
                <w:color w:val="auto"/>
                <w:sz w:val="20"/>
                <w:szCs w:val="20"/>
                <w:lang w:val="en-US" w:eastAsia="zh-CN"/>
              </w:rPr>
              <w:t xml:space="preserve">。 </w:t>
            </w:r>
          </w:p>
          <w:p w14:paraId="28BEFC26">
            <w:pPr>
              <w:spacing w:line="360" w:lineRule="exact"/>
              <w:rPr>
                <w:rFonts w:hint="default" w:ascii="宋体" w:hAnsi="宋体" w:eastAsia="宋体" w:cs="宋体"/>
                <w:color w:val="auto"/>
                <w:kern w:val="2"/>
                <w:sz w:val="21"/>
                <w:szCs w:val="21"/>
                <w:lang w:val="en-US" w:eastAsia="zh-CN" w:bidi="ar-SA"/>
              </w:rPr>
            </w:pPr>
          </w:p>
        </w:tc>
      </w:tr>
      <w:tr w14:paraId="20428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16" w:type="pct"/>
            <w:vMerge w:val="continue"/>
          </w:tcPr>
          <w:p w14:paraId="248E21A0">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ascii="宋体" w:hAnsi="宋体" w:eastAsia="宋体" w:cs="宋体"/>
                <w:color w:val="auto"/>
                <w:sz w:val="24"/>
                <w:lang w:val="en-US" w:eastAsia="zh-CN"/>
              </w:rPr>
            </w:pPr>
          </w:p>
        </w:tc>
        <w:tc>
          <w:tcPr>
            <w:tcW w:w="699" w:type="pct"/>
            <w:vMerge w:val="continue"/>
          </w:tcPr>
          <w:p w14:paraId="75FCF05F">
            <w:pPr>
              <w:keepNext w:val="0"/>
              <w:keepLines w:val="0"/>
              <w:pageBreakBefore w:val="0"/>
              <w:wordWrap/>
              <w:overflowPunct/>
              <w:topLinePunct w:val="0"/>
              <w:bidi w:val="0"/>
              <w:snapToGrid w:val="0"/>
              <w:spacing w:after="160" w:line="240" w:lineRule="auto"/>
              <w:ind w:left="0" w:leftChars="0" w:right="0" w:rightChars="0" w:firstLine="0" w:firstLineChars="0"/>
              <w:jc w:val="left"/>
              <w:rPr>
                <w:rFonts w:hint="eastAsia" w:ascii="宋体" w:hAnsi="宋体" w:eastAsia="宋体" w:cs="宋体"/>
                <w:snapToGrid w:val="0"/>
                <w:color w:val="auto"/>
                <w:kern w:val="0"/>
                <w:sz w:val="24"/>
                <w:lang w:eastAsia="en-US"/>
              </w:rPr>
            </w:pPr>
          </w:p>
        </w:tc>
        <w:tc>
          <w:tcPr>
            <w:tcW w:w="726" w:type="pct"/>
            <w:shd w:val="clear" w:color="auto" w:fill="FFFFFF"/>
            <w:vAlign w:val="center"/>
          </w:tcPr>
          <w:p w14:paraId="382A5DA8">
            <w:pPr>
              <w:spacing w:line="360" w:lineRule="exact"/>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Cs w:val="21"/>
              </w:rPr>
              <w:t>售后服务方案（</w:t>
            </w:r>
            <w:r>
              <w:rPr>
                <w:rFonts w:hint="eastAsia" w:ascii="宋体" w:hAnsi="宋体" w:eastAsia="宋体" w:cs="宋体"/>
                <w:color w:val="auto"/>
                <w:szCs w:val="21"/>
                <w:lang w:val="en-US" w:eastAsia="zh-CN"/>
              </w:rPr>
              <w:t>8</w:t>
            </w:r>
            <w:r>
              <w:rPr>
                <w:rFonts w:hint="eastAsia" w:ascii="宋体" w:hAnsi="宋体" w:eastAsia="宋体" w:cs="宋体"/>
                <w:color w:val="auto"/>
                <w:szCs w:val="21"/>
              </w:rPr>
              <w:t>分）</w:t>
            </w:r>
          </w:p>
        </w:tc>
        <w:tc>
          <w:tcPr>
            <w:tcW w:w="0" w:type="auto"/>
            <w:shd w:val="clear" w:color="auto" w:fill="FFFFFF"/>
            <w:vAlign w:val="center"/>
          </w:tcPr>
          <w:p w14:paraId="653D84E3">
            <w:p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根据供应商提供的售后服务方案进行评审，内容包括：①售后服务保障及技术支持方案②备品备件配备方案③培训方案。提供方案者即得基础分5分。额外加分标准：</w:t>
            </w:r>
          </w:p>
          <w:p w14:paraId="629DB744">
            <w:pPr>
              <w:numPr>
                <w:ilvl w:val="0"/>
                <w:numId w:val="0"/>
              </w:num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1.投标文件的内容完整、科学有效性、有针对性及编制水平高得3分。 </w:t>
            </w:r>
          </w:p>
          <w:p w14:paraId="5D7D6E95">
            <w:pPr>
              <w:numPr>
                <w:ilvl w:val="0"/>
                <w:numId w:val="0"/>
              </w:num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2.投标文件的内容完整性较好，科学有效性、有针对性，编制水平较好得2分。 </w:t>
            </w:r>
          </w:p>
          <w:p w14:paraId="5D5C34E5">
            <w:pPr>
              <w:numPr>
                <w:ilvl w:val="0"/>
                <w:numId w:val="0"/>
              </w:num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3.投标文件的内容不完整，科学有效性、有针对性体现较一般，编制水平较一般，得1分。 </w:t>
            </w:r>
          </w:p>
          <w:p w14:paraId="3C965404">
            <w:pPr>
              <w:numPr>
                <w:ilvl w:val="0"/>
                <w:numId w:val="0"/>
              </w:numPr>
              <w:spacing w:line="36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lang w:val="en-US" w:eastAsia="zh-CN"/>
              </w:rPr>
              <w:t>4.未提供不得分</w:t>
            </w:r>
            <w:r>
              <w:rPr>
                <w:rFonts w:hint="eastAsia" w:ascii="宋体" w:hAnsi="宋体" w:eastAsia="宋体" w:cs="宋体"/>
                <w:color w:val="auto"/>
                <w:sz w:val="20"/>
                <w:szCs w:val="20"/>
                <w:lang w:val="en-US" w:eastAsia="zh-CN"/>
              </w:rPr>
              <w:t xml:space="preserve">。 </w:t>
            </w:r>
          </w:p>
        </w:tc>
      </w:tr>
      <w:tr w14:paraId="750EB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16" w:type="pct"/>
          </w:tcPr>
          <w:p w14:paraId="55D22B30">
            <w:pPr>
              <w:pStyle w:val="28"/>
              <w:keepNext w:val="0"/>
              <w:keepLines w:val="0"/>
              <w:pageBreakBefore w:val="0"/>
              <w:widowControl w:val="0"/>
              <w:wordWrap/>
              <w:overflowPunct/>
              <w:topLinePunct w:val="0"/>
              <w:bidi w:val="0"/>
              <w:snapToGrid w:val="0"/>
              <w:spacing w:before="78" w:line="240" w:lineRule="auto"/>
              <w:ind w:left="0" w:leftChars="0" w:right="0" w:rightChars="0" w:firstLine="0" w:firstLineChars="0"/>
              <w:jc w:val="center"/>
              <w:rPr>
                <w:rFonts w:hint="eastAsia" w:ascii="宋体" w:hAnsi="宋体" w:eastAsia="宋体" w:cs="宋体"/>
                <w:color w:val="auto"/>
                <w:sz w:val="24"/>
                <w:lang w:val="en-US" w:eastAsia="zh-CN"/>
              </w:rPr>
            </w:pPr>
          </w:p>
        </w:tc>
        <w:tc>
          <w:tcPr>
            <w:tcW w:w="699" w:type="pct"/>
          </w:tcPr>
          <w:p w14:paraId="00BDF756">
            <w:pPr>
              <w:keepNext w:val="0"/>
              <w:keepLines w:val="0"/>
              <w:pageBreakBefore w:val="0"/>
              <w:wordWrap/>
              <w:overflowPunct/>
              <w:topLinePunct w:val="0"/>
              <w:bidi w:val="0"/>
              <w:snapToGrid w:val="0"/>
              <w:spacing w:after="160" w:line="240" w:lineRule="auto"/>
              <w:ind w:left="0" w:leftChars="0" w:right="0" w:rightChars="0" w:firstLine="0" w:firstLineChars="0"/>
              <w:jc w:val="left"/>
              <w:rPr>
                <w:rFonts w:hint="default" w:ascii="宋体" w:hAnsi="宋体" w:eastAsia="宋体" w:cs="宋体"/>
                <w:snapToGrid w:val="0"/>
                <w:color w:val="auto"/>
                <w:kern w:val="0"/>
                <w:sz w:val="24"/>
                <w:lang w:val="en-US" w:eastAsia="zh-CN"/>
              </w:rPr>
            </w:pPr>
            <w:r>
              <w:rPr>
                <w:rFonts w:hint="eastAsia" w:ascii="宋体" w:hAnsi="宋体" w:eastAsia="宋体" w:cs="宋体"/>
                <w:snapToGrid w:val="0"/>
                <w:color w:val="auto"/>
                <w:kern w:val="0"/>
                <w:sz w:val="24"/>
                <w:lang w:val="en-US" w:eastAsia="zh-CN"/>
              </w:rPr>
              <w:t>分值构成</w:t>
            </w:r>
          </w:p>
        </w:tc>
        <w:tc>
          <w:tcPr>
            <w:tcW w:w="3983" w:type="pct"/>
            <w:gridSpan w:val="2"/>
            <w:shd w:val="clear" w:color="auto" w:fill="FFFFFF"/>
            <w:vAlign w:val="center"/>
          </w:tcPr>
          <w:p w14:paraId="681ABE6D">
            <w:pPr>
              <w:numPr>
                <w:ilvl w:val="0"/>
                <w:numId w:val="0"/>
              </w:numPr>
              <w:spacing w:line="360" w:lineRule="exact"/>
              <w:ind w:firstLine="420" w:firstLineChars="200"/>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报价得分：20分    商务部分：20分  技术部分：60分</w:t>
            </w:r>
          </w:p>
        </w:tc>
      </w:tr>
    </w:tbl>
    <w:p w14:paraId="1757D553">
      <w:pPr>
        <w:pStyle w:val="2"/>
        <w:rPr>
          <w:rFonts w:hint="default"/>
          <w:lang w:val="en-US" w:eastAsia="zh-CN"/>
        </w:rPr>
      </w:pPr>
    </w:p>
    <w:p w14:paraId="0EC17BD2">
      <w:pPr>
        <w:pStyle w:val="3"/>
        <w:rPr>
          <w:rFonts w:hint="default"/>
          <w:lang w:val="en-US" w:eastAsia="zh-CN"/>
        </w:rPr>
      </w:pPr>
    </w:p>
    <w:p w14:paraId="5FEA6461">
      <w:pPr>
        <w:pStyle w:val="4"/>
        <w:rPr>
          <w:rFonts w:hint="default"/>
          <w:lang w:val="en-US" w:eastAsia="zh-CN"/>
        </w:rPr>
      </w:pPr>
    </w:p>
    <w:p w14:paraId="67AA3330">
      <w:pPr>
        <w:rPr>
          <w:rFonts w:hint="default"/>
          <w:lang w:val="en-US" w:eastAsia="zh-CN"/>
        </w:rPr>
      </w:pPr>
    </w:p>
    <w:p w14:paraId="5647104D">
      <w:pPr>
        <w:pStyle w:val="2"/>
        <w:rPr>
          <w:rFonts w:hint="default"/>
          <w:lang w:val="en-US" w:eastAsia="zh-CN"/>
        </w:rPr>
      </w:pPr>
    </w:p>
    <w:p w14:paraId="79258105">
      <w:pPr>
        <w:pStyle w:val="3"/>
        <w:rPr>
          <w:rFonts w:hint="default"/>
          <w:lang w:val="en-US" w:eastAsia="zh-CN"/>
        </w:rPr>
      </w:pPr>
    </w:p>
    <w:p w14:paraId="332FE0E3">
      <w:pPr>
        <w:pStyle w:val="4"/>
        <w:rPr>
          <w:rFonts w:hint="default"/>
          <w:lang w:val="en-US" w:eastAsia="zh-CN"/>
        </w:rPr>
      </w:pPr>
    </w:p>
    <w:p w14:paraId="126BE133">
      <w:pPr>
        <w:rPr>
          <w:rFonts w:hint="default"/>
          <w:lang w:val="en-US" w:eastAsia="zh-CN"/>
        </w:rPr>
      </w:pPr>
    </w:p>
    <w:p w14:paraId="7218557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1ECB17B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7D1DE86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6"/>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w:t>
      </w:r>
      <w:r>
        <w:rPr>
          <w:rFonts w:hint="eastAsia" w:ascii="宋体" w:hAnsi="宋体" w:eastAsia="宋体" w:cs="宋体"/>
          <w:b w:val="0"/>
          <w:color w:val="000000"/>
          <w:sz w:val="24"/>
          <w:szCs w:val="24"/>
          <w:lang w:val="en-US" w:eastAsia="zh-CN"/>
        </w:rPr>
        <w:t>综合评审表各项响应内容</w:t>
      </w:r>
      <w:r>
        <w:rPr>
          <w:rFonts w:ascii="宋体" w:hAnsi="宋体" w:eastAsia="宋体" w:cs="宋体"/>
          <w:b w:val="0"/>
          <w:color w:val="000000"/>
          <w:sz w:val="24"/>
          <w:szCs w:val="24"/>
        </w:rPr>
        <w:t>........................................</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D9732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03D641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287F6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8"/>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3"/>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分项报价表（如有）</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2"/>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（营业执照等复印件）</w:t>
      </w:r>
      <w:bookmarkStart w:id="1" w:name="_GoBack"/>
      <w:bookmarkEnd w:id="1"/>
    </w:p>
    <w:p w14:paraId="00C9085F">
      <w:pPr>
        <w:pStyle w:val="7"/>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7"/>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7"/>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7"/>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7"/>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7"/>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7"/>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7"/>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7"/>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7"/>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7"/>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7"/>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7"/>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7"/>
        <w:rPr>
          <w:rFonts w:hint="eastAsia"/>
        </w:rPr>
      </w:pPr>
    </w:p>
    <w:p w14:paraId="17F60C46">
      <w:pPr>
        <w:keepNext w:val="0"/>
        <w:keepLines w:val="0"/>
        <w:pageBreakBefore w:val="0"/>
        <w:widowControl/>
        <w:numPr>
          <w:ilvl w:val="0"/>
          <w:numId w:val="9"/>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综合评审表各项响应内容</w:t>
      </w: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十五、其它</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46AE69"/>
    <w:multiLevelType w:val="singleLevel"/>
    <w:tmpl w:val="0E46AE69"/>
    <w:lvl w:ilvl="0" w:tentative="0">
      <w:start w:val="1"/>
      <w:numFmt w:val="decimal"/>
      <w:lvlText w:val="%1."/>
      <w:lvlJc w:val="left"/>
      <w:pPr>
        <w:tabs>
          <w:tab w:val="left" w:pos="312"/>
        </w:tabs>
      </w:pPr>
    </w:lvl>
  </w:abstractNum>
  <w:abstractNum w:abstractNumId="1">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2">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3">
    <w:nsid w:val="43B5E7C1"/>
    <w:multiLevelType w:val="singleLevel"/>
    <w:tmpl w:val="43B5E7C1"/>
    <w:lvl w:ilvl="0" w:tentative="0">
      <w:start w:val="14"/>
      <w:numFmt w:val="chineseCounting"/>
      <w:suff w:val="nothing"/>
      <w:lvlText w:val="%1、"/>
      <w:lvlJc w:val="left"/>
      <w:rPr>
        <w:rFonts w:hint="eastAsia"/>
      </w:rPr>
    </w:lvl>
  </w:abstractNum>
  <w:abstractNum w:abstractNumId="4">
    <w:nsid w:val="4BDE8DFB"/>
    <w:multiLevelType w:val="singleLevel"/>
    <w:tmpl w:val="4BDE8DFB"/>
    <w:lvl w:ilvl="0" w:tentative="0">
      <w:start w:val="1"/>
      <w:numFmt w:val="decimal"/>
      <w:lvlText w:val="%1."/>
      <w:lvlJc w:val="left"/>
      <w:pPr>
        <w:tabs>
          <w:tab w:val="left" w:pos="312"/>
        </w:tabs>
      </w:pPr>
    </w:lvl>
  </w:abstractNum>
  <w:abstractNum w:abstractNumId="5">
    <w:nsid w:val="5C6A04CC"/>
    <w:multiLevelType w:val="singleLevel"/>
    <w:tmpl w:val="5C6A04CC"/>
    <w:lvl w:ilvl="0" w:tentative="0">
      <w:start w:val="1"/>
      <w:numFmt w:val="chineseCounting"/>
      <w:suff w:val="space"/>
      <w:lvlText w:val="第%1章"/>
      <w:lvlJc w:val="left"/>
      <w:rPr>
        <w:rFonts w:hint="eastAsia"/>
      </w:rPr>
    </w:lvl>
  </w:abstractNum>
  <w:abstractNum w:abstractNumId="6">
    <w:nsid w:val="631B7839"/>
    <w:multiLevelType w:val="singleLevel"/>
    <w:tmpl w:val="631B7839"/>
    <w:lvl w:ilvl="0" w:tentative="0">
      <w:start w:val="2"/>
      <w:numFmt w:val="decimal"/>
      <w:suff w:val="nothing"/>
      <w:lvlText w:val="（%1）"/>
      <w:lvlJc w:val="left"/>
    </w:lvl>
  </w:abstractNum>
  <w:abstractNum w:abstractNumId="7">
    <w:nsid w:val="6AA9C9E5"/>
    <w:multiLevelType w:val="singleLevel"/>
    <w:tmpl w:val="6AA9C9E5"/>
    <w:lvl w:ilvl="0" w:tentative="0">
      <w:start w:val="2"/>
      <w:numFmt w:val="chineseCounting"/>
      <w:suff w:val="nothing"/>
      <w:lvlText w:val="%1、"/>
      <w:lvlJc w:val="left"/>
      <w:rPr>
        <w:rFonts w:hint="eastAsia"/>
      </w:rPr>
    </w:lvl>
  </w:abstractNum>
  <w:abstractNum w:abstractNumId="8">
    <w:nsid w:val="74C57C35"/>
    <w:multiLevelType w:val="multilevel"/>
    <w:tmpl w:val="74C57C3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7"/>
  </w:num>
  <w:num w:numId="3">
    <w:abstractNumId w:val="6"/>
  </w:num>
  <w:num w:numId="4">
    <w:abstractNumId w:val="8"/>
  </w:num>
  <w:num w:numId="5">
    <w:abstractNumId w:val="0"/>
  </w:num>
  <w:num w:numId="6">
    <w:abstractNumId w:val="4"/>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E650D1D"/>
    <w:rsid w:val="3E9002A8"/>
    <w:rsid w:val="3F552A03"/>
    <w:rsid w:val="40A31F26"/>
    <w:rsid w:val="41033B7A"/>
    <w:rsid w:val="420B38E3"/>
    <w:rsid w:val="42E570EA"/>
    <w:rsid w:val="43523C38"/>
    <w:rsid w:val="43B51B88"/>
    <w:rsid w:val="44AA028A"/>
    <w:rsid w:val="45376F42"/>
    <w:rsid w:val="4603606C"/>
    <w:rsid w:val="46236E29"/>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36A8F"/>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6"/>
    <w:autoRedefine/>
    <w:qFormat/>
    <w:uiPriority w:val="1"/>
    <w:pPr>
      <w:jc w:val="both"/>
    </w:pPr>
    <w:rPr>
      <w:rFonts w:asciiTheme="minorHAnsi" w:hAnsiTheme="minorHAnsi" w:eastAsiaTheme="minorEastAsia" w:cstheme="minorBidi"/>
      <w:sz w:val="21"/>
      <w:szCs w:val="21"/>
      <w:lang w:val="en-US" w:eastAsia="zh-CN" w:bidi="ar-SA"/>
    </w:rPr>
  </w:style>
  <w:style w:type="paragraph" w:styleId="5">
    <w:name w:val="heading 1"/>
    <w:basedOn w:val="1"/>
    <w:next w:val="1"/>
    <w:autoRedefine/>
    <w:qFormat/>
    <w:uiPriority w:val="7"/>
    <w:pPr>
      <w:spacing w:before="340" w:after="330" w:line="578" w:lineRule="auto"/>
      <w:outlineLvl w:val="0"/>
    </w:pPr>
    <w:rPr>
      <w:b/>
      <w:sz w:val="44"/>
      <w:szCs w:val="44"/>
    </w:rPr>
  </w:style>
  <w:style w:type="paragraph" w:styleId="6">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7">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4">
    <w:name w:val="Default Paragraph Font"/>
    <w:autoRedefine/>
    <w:semiHidden/>
    <w:qFormat/>
    <w:uiPriority w:val="2"/>
  </w:style>
  <w:style w:type="table" w:default="1" w:styleId="12">
    <w:name w:val="Normal Table"/>
    <w:semiHidden/>
    <w:qFormat/>
    <w:uiPriority w:val="3"/>
    <w:tblPr>
      <w:tblCellMar>
        <w:top w:w="0" w:type="dxa"/>
        <w:left w:w="108" w:type="dxa"/>
        <w:bottom w:w="0" w:type="dxa"/>
        <w:right w:w="108" w:type="dxa"/>
      </w:tblCellMar>
    </w:tblPr>
  </w:style>
  <w:style w:type="paragraph" w:styleId="2">
    <w:name w:val="header"/>
    <w:basedOn w:val="1"/>
    <w:next w:val="3"/>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3">
    <w:name w:val="Body Text"/>
    <w:basedOn w:val="1"/>
    <w:next w:val="4"/>
    <w:qFormat/>
    <w:uiPriority w:val="1"/>
    <w:rPr>
      <w:rFonts w:ascii="微软雅黑" w:hAnsi="微软雅黑" w:eastAsia="微软雅黑" w:cs="微软雅黑"/>
      <w:sz w:val="15"/>
      <w:szCs w:val="15"/>
      <w:lang w:val="zh-CN" w:bidi="zh-CN"/>
    </w:rPr>
  </w:style>
  <w:style w:type="paragraph" w:styleId="4">
    <w:name w:val="toc 2"/>
    <w:basedOn w:val="1"/>
    <w:next w:val="1"/>
    <w:qFormat/>
    <w:uiPriority w:val="39"/>
    <w:pPr>
      <w:ind w:left="210"/>
      <w:jc w:val="left"/>
    </w:pPr>
    <w:rPr>
      <w:rFonts w:ascii="Calibri" w:hAnsi="Calibri"/>
      <w:smallCaps/>
      <w:sz w:val="20"/>
    </w:r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3">
    <w:name w:val="Table Grid"/>
    <w:basedOn w:val="12"/>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26"/>
    <w:pPr>
      <w:ind w:firstLine="200"/>
    </w:pPr>
    <w:rPr>
      <w:rFonts w:ascii="Times New Roman" w:hAnsi="Times New Roman" w:eastAsia="宋体" w:cs="Times New Roman"/>
      <w:sz w:val="28"/>
      <w:szCs w:val="28"/>
    </w:rPr>
  </w:style>
  <w:style w:type="character" w:customStyle="1" w:styleId="16">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7">
    <w:name w:val="font11"/>
    <w:basedOn w:val="14"/>
    <w:autoRedefine/>
    <w:qFormat/>
    <w:uiPriority w:val="0"/>
    <w:rPr>
      <w:rFonts w:hint="eastAsia" w:ascii="宋体" w:hAnsi="宋体" w:eastAsia="宋体" w:cs="宋体"/>
      <w:color w:val="000000"/>
      <w:sz w:val="24"/>
      <w:szCs w:val="24"/>
      <w:u w:val="none"/>
    </w:rPr>
  </w:style>
  <w:style w:type="character" w:customStyle="1" w:styleId="18">
    <w:name w:val="font31"/>
    <w:basedOn w:val="14"/>
    <w:autoRedefine/>
    <w:qFormat/>
    <w:uiPriority w:val="0"/>
    <w:rPr>
      <w:rFonts w:hint="eastAsia" w:ascii="宋体" w:hAnsi="宋体" w:eastAsia="宋体" w:cs="宋体"/>
      <w:color w:val="000000"/>
      <w:sz w:val="21"/>
      <w:szCs w:val="21"/>
      <w:u w:val="none"/>
    </w:rPr>
  </w:style>
  <w:style w:type="paragraph" w:customStyle="1" w:styleId="19">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0">
    <w:name w:val="font41"/>
    <w:basedOn w:val="14"/>
    <w:autoRedefine/>
    <w:qFormat/>
    <w:uiPriority w:val="0"/>
    <w:rPr>
      <w:rFonts w:ascii="Calibri" w:hAnsi="Calibri" w:cs="Calibri"/>
      <w:color w:val="000000"/>
      <w:sz w:val="28"/>
      <w:szCs w:val="28"/>
      <w:u w:val="none"/>
    </w:rPr>
  </w:style>
  <w:style w:type="character" w:customStyle="1" w:styleId="21">
    <w:name w:val="font21"/>
    <w:basedOn w:val="14"/>
    <w:autoRedefine/>
    <w:qFormat/>
    <w:uiPriority w:val="0"/>
    <w:rPr>
      <w:rFonts w:hint="eastAsia" w:ascii="宋体" w:hAnsi="宋体" w:eastAsia="宋体" w:cs="宋体"/>
      <w:color w:val="000000"/>
      <w:sz w:val="21"/>
      <w:szCs w:val="21"/>
      <w:u w:val="none"/>
    </w:rPr>
  </w:style>
  <w:style w:type="table" w:customStyle="1" w:styleId="22">
    <w:name w:val="网格型1"/>
    <w:basedOn w:val="23"/>
    <w:qFormat/>
    <w:uiPriority w:val="0"/>
    <w:pPr>
      <w:widowControl w:val="0"/>
      <w:jc w:val="both"/>
    </w:pPr>
  </w:style>
  <w:style w:type="table" w:customStyle="1" w:styleId="23">
    <w:name w:val="普通表格1"/>
    <w:semiHidden/>
    <w:qFormat/>
    <w:uiPriority w:val="0"/>
  </w:style>
  <w:style w:type="paragraph" w:customStyle="1" w:styleId="24">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5">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6">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27">
    <w:name w:val="列表段落2"/>
    <w:basedOn w:val="1"/>
    <w:qFormat/>
    <w:uiPriority w:val="0"/>
    <w:pPr>
      <w:ind w:firstLine="420" w:firstLineChars="200"/>
    </w:pPr>
    <w:rPr>
      <w:rFonts w:ascii="Calibri" w:hAnsi="Calibri" w:eastAsia="宋体" w:cs="Times New Roman"/>
    </w:rPr>
  </w:style>
  <w:style w:type="paragraph" w:customStyle="1" w:styleId="28">
    <w:name w:val="Table Text"/>
    <w:basedOn w:val="1"/>
    <w:semiHidden/>
    <w:qFormat/>
    <w:uiPriority w:val="0"/>
    <w:pPr>
      <w:widowControl/>
      <w:kinsoku w:val="0"/>
      <w:autoSpaceDE w:val="0"/>
      <w:autoSpaceDN w:val="0"/>
      <w:adjustRightInd w:val="0"/>
      <w:snapToGrid w:val="0"/>
      <w:spacing w:after="160"/>
      <w:jc w:val="left"/>
      <w:textAlignment w:val="baseline"/>
    </w:pPr>
    <w:rPr>
      <w:rFonts w:ascii="宋体" w:hAnsi="宋体" w:cs="宋体"/>
      <w:snapToGrid w:val="0"/>
      <w:color w:val="000000"/>
      <w:kern w:val="0"/>
      <w:sz w:val="24"/>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38</Words>
  <Characters>43</Characters>
  <Lines>0</Lines>
  <Paragraphs>0</Paragraphs>
  <TotalTime>0</TotalTime>
  <ScaleCrop>false</ScaleCrop>
  <LinksUpToDate>false</LinksUpToDate>
  <CharactersWithSpaces>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2026-10-22T08:03:54Z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AC9F75E1AD354F499F3428870BFC8DB8_13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