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鄂尔多斯市中心医院</w:t>
      </w:r>
    </w:p>
    <w:p w14:paraId="4460EAC3">
      <w:pPr>
        <w:numPr>
          <w:ilvl w:val="0"/>
          <w:numId w:val="0"/>
        </w:numPr>
        <w:jc w:val="center"/>
        <w:rPr>
          <w:rFonts w:hint="eastAsia" w:ascii="宋体" w:hAnsi="宋体" w:eastAsia="宋体" w:cs="宋体"/>
          <w:b/>
          <w:bCs/>
          <w:sz w:val="44"/>
          <w:szCs w:val="44"/>
          <w:lang w:val="en-US" w:eastAsia="zh-CN"/>
        </w:rPr>
      </w:pPr>
    </w:p>
    <w:p w14:paraId="7855E913">
      <w:pPr>
        <w:numPr>
          <w:ilvl w:val="0"/>
          <w:numId w:val="0"/>
        </w:numPr>
        <w:jc w:val="center"/>
        <w:rPr>
          <w:rFonts w:hint="eastAsia" w:ascii="宋体" w:hAnsi="宋体" w:eastAsia="宋体" w:cs="宋体"/>
          <w:b/>
          <w:bCs/>
          <w:sz w:val="44"/>
          <w:szCs w:val="44"/>
          <w:lang w:val="en-US" w:eastAsia="zh-CN"/>
        </w:rPr>
      </w:pPr>
    </w:p>
    <w:p w14:paraId="24BCF1D6">
      <w:pPr>
        <w:numPr>
          <w:ilvl w:val="0"/>
          <w:numId w:val="0"/>
        </w:numPr>
        <w:ind w:firstLine="2650" w:firstLineChars="600"/>
        <w:jc w:val="both"/>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院内招采文件</w:t>
      </w:r>
    </w:p>
    <w:p w14:paraId="1A2146B2">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 xml:space="preserve">                          </w:t>
      </w:r>
    </w:p>
    <w:p w14:paraId="4765CAF4">
      <w:pPr>
        <w:numPr>
          <w:ilvl w:val="0"/>
          <w:numId w:val="0"/>
        </w:numPr>
        <w:rPr>
          <w:rFonts w:hint="eastAsia" w:ascii="宋体" w:hAnsi="宋体" w:eastAsia="宋体" w:cs="宋体"/>
          <w:b/>
          <w:bCs/>
          <w:lang w:val="en-US" w:eastAsia="zh-CN"/>
        </w:rPr>
      </w:pPr>
    </w:p>
    <w:p w14:paraId="1EA16BF7">
      <w:pPr>
        <w:numPr>
          <w:ilvl w:val="0"/>
          <w:numId w:val="0"/>
        </w:numPr>
        <w:rPr>
          <w:rFonts w:hint="eastAsia" w:ascii="宋体" w:hAnsi="宋体" w:eastAsia="宋体" w:cs="宋体"/>
          <w:b/>
          <w:bCs/>
          <w:lang w:val="en-US" w:eastAsia="zh-CN"/>
        </w:rPr>
      </w:pPr>
    </w:p>
    <w:p w14:paraId="594118B3">
      <w:pPr>
        <w:numPr>
          <w:ilvl w:val="0"/>
          <w:numId w:val="0"/>
        </w:numPr>
        <w:rPr>
          <w:rFonts w:hint="eastAsia" w:ascii="宋体" w:hAnsi="宋体" w:eastAsia="宋体" w:cs="宋体"/>
          <w:b/>
          <w:bCs/>
          <w:lang w:val="en-US" w:eastAsia="zh-CN"/>
        </w:rPr>
      </w:pPr>
    </w:p>
    <w:p w14:paraId="15ACEF2E">
      <w:pPr>
        <w:numPr>
          <w:ilvl w:val="0"/>
          <w:numId w:val="0"/>
        </w:numPr>
        <w:rPr>
          <w:rFonts w:hint="eastAsia" w:ascii="宋体" w:hAnsi="宋体" w:eastAsia="宋体" w:cs="宋体"/>
          <w:b/>
          <w:bCs/>
          <w:lang w:val="en-US" w:eastAsia="zh-CN"/>
        </w:rPr>
      </w:pPr>
    </w:p>
    <w:p w14:paraId="3A088841">
      <w:pPr>
        <w:numPr>
          <w:ilvl w:val="0"/>
          <w:numId w:val="0"/>
        </w:numPr>
        <w:rPr>
          <w:rFonts w:hint="eastAsia" w:ascii="宋体" w:hAnsi="宋体" w:eastAsia="宋体" w:cs="宋体"/>
          <w:b/>
          <w:bCs/>
          <w:lang w:val="en-US" w:eastAsia="zh-CN"/>
        </w:rPr>
      </w:pPr>
    </w:p>
    <w:p w14:paraId="7725592C">
      <w:pPr>
        <w:numPr>
          <w:ilvl w:val="0"/>
          <w:numId w:val="0"/>
        </w:numPr>
        <w:rPr>
          <w:rFonts w:hint="eastAsia" w:ascii="宋体" w:hAnsi="宋体" w:eastAsia="宋体" w:cs="宋体"/>
          <w:b/>
          <w:bCs/>
          <w:lang w:val="en-US" w:eastAsia="zh-CN"/>
        </w:rPr>
      </w:pPr>
    </w:p>
    <w:p w14:paraId="40D4F4C5">
      <w:pPr>
        <w:numPr>
          <w:ilvl w:val="0"/>
          <w:numId w:val="0"/>
        </w:numPr>
        <w:rPr>
          <w:rFonts w:hint="eastAsia" w:ascii="宋体" w:hAnsi="宋体" w:eastAsia="宋体" w:cs="宋体"/>
          <w:b/>
          <w:bCs/>
          <w:lang w:val="en-US" w:eastAsia="zh-CN"/>
        </w:rPr>
      </w:pPr>
    </w:p>
    <w:p w14:paraId="1B580E17">
      <w:pPr>
        <w:numPr>
          <w:ilvl w:val="0"/>
          <w:numId w:val="0"/>
        </w:numPr>
        <w:rPr>
          <w:rFonts w:hint="eastAsia" w:ascii="宋体" w:hAnsi="宋体" w:eastAsia="宋体" w:cs="宋体"/>
          <w:b/>
          <w:bCs/>
          <w:lang w:val="en-US" w:eastAsia="zh-CN"/>
        </w:rPr>
      </w:pPr>
    </w:p>
    <w:p w14:paraId="7AC87205">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康巴什部蒸汽发生器及纯水设备项目</w:t>
      </w:r>
    </w:p>
    <w:p w14:paraId="13F46CBC">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2026年10月22日</w:t>
      </w:r>
    </w:p>
    <w:p w14:paraId="3DED3793">
      <w:pPr>
        <w:numPr>
          <w:ilvl w:val="0"/>
          <w:numId w:val="0"/>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D33FED8">
      <w:pPr>
        <w:numPr>
          <w:ilvl w:val="0"/>
          <w:numId w:val="0"/>
        </w:numPr>
        <w:spacing w:line="360" w:lineRule="auto"/>
        <w:jc w:val="left"/>
        <w:rPr>
          <w:rFonts w:hint="eastAsia" w:hAnsi="宋体"/>
          <w:sz w:val="24"/>
          <w:szCs w:val="24"/>
          <w:lang w:val="en-US" w:eastAsia="zh-CN"/>
        </w:rPr>
      </w:pPr>
    </w:p>
    <w:p w14:paraId="0B0E5296">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45BBB40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59BC41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一、商务条款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8"/>
          <w:szCs w:val="28"/>
          <w:lang w:val="en-US" w:eastAsia="zh-CN"/>
        </w:rPr>
        <w:t xml:space="preserve"> 货币单位：元</w:t>
      </w:r>
    </w:p>
    <w:tbl>
      <w:tblPr>
        <w:tblStyle w:val="16"/>
        <w:tblW w:w="1008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1"/>
        <w:gridCol w:w="4006"/>
        <w:gridCol w:w="910"/>
        <w:gridCol w:w="1155"/>
        <w:gridCol w:w="1545"/>
        <w:gridCol w:w="1380"/>
      </w:tblGrid>
      <w:tr w14:paraId="3C520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0C33EDD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4006" w:type="dxa"/>
            <w:vAlign w:val="center"/>
          </w:tcPr>
          <w:p w14:paraId="2CBBE61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910" w:type="dxa"/>
            <w:vAlign w:val="center"/>
          </w:tcPr>
          <w:p w14:paraId="0CF32186">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155" w:type="dxa"/>
            <w:vAlign w:val="center"/>
          </w:tcPr>
          <w:p w14:paraId="767E41D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1545" w:type="dxa"/>
            <w:vAlign w:val="center"/>
          </w:tcPr>
          <w:p w14:paraId="6E85736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预算单价</w:t>
            </w:r>
          </w:p>
        </w:tc>
        <w:tc>
          <w:tcPr>
            <w:tcW w:w="1380" w:type="dxa"/>
            <w:vAlign w:val="center"/>
          </w:tcPr>
          <w:p w14:paraId="1E768A5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6A5C5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552FC67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4006" w:type="dxa"/>
            <w:vAlign w:val="center"/>
          </w:tcPr>
          <w:p w14:paraId="0D622F54">
            <w:pPr>
              <w:keepNext w:val="0"/>
              <w:keepLines w:val="0"/>
              <w:pageBreakBefore w:val="0"/>
              <w:widowControl/>
              <w:kinsoku/>
              <w:wordWrap/>
              <w:overflowPunct/>
              <w:topLinePunct w:val="0"/>
              <w:autoSpaceDE/>
              <w:autoSpaceDN/>
              <w:bidi w:val="0"/>
              <w:adjustRightInd/>
              <w:snapToGrid/>
              <w:jc w:val="left"/>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燃气蒸汽发生器（燃气蒸汽机）</w:t>
            </w:r>
          </w:p>
        </w:tc>
        <w:tc>
          <w:tcPr>
            <w:tcW w:w="910" w:type="dxa"/>
            <w:vAlign w:val="center"/>
          </w:tcPr>
          <w:p w14:paraId="0D547558">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台</w:t>
            </w:r>
          </w:p>
        </w:tc>
        <w:tc>
          <w:tcPr>
            <w:tcW w:w="1155" w:type="dxa"/>
            <w:vAlign w:val="center"/>
          </w:tcPr>
          <w:p w14:paraId="6EE8DAAF">
            <w:pPr>
              <w:keepNext w:val="0"/>
              <w:keepLines w:val="0"/>
              <w:pageBreakBefore w:val="0"/>
              <w:widowControl/>
              <w:kinsoku/>
              <w:wordWrap/>
              <w:overflowPunct/>
              <w:topLinePunct w:val="0"/>
              <w:autoSpaceDE/>
              <w:autoSpaceDN/>
              <w:bidi w:val="0"/>
              <w:adjustRightInd/>
              <w:snapToGrid/>
              <w:jc w:val="left"/>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1545" w:type="dxa"/>
            <w:vAlign w:val="center"/>
          </w:tcPr>
          <w:p w14:paraId="0297614C">
            <w:pPr>
              <w:keepNext w:val="0"/>
              <w:keepLines w:val="0"/>
              <w:pageBreakBefore w:val="0"/>
              <w:widowControl/>
              <w:kinsoku/>
              <w:wordWrap/>
              <w:overflowPunct/>
              <w:topLinePunct w:val="0"/>
              <w:autoSpaceDE/>
              <w:autoSpaceDN/>
              <w:bidi w:val="0"/>
              <w:adjustRightInd/>
              <w:snapToGrid/>
              <w:jc w:val="left"/>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360000</w:t>
            </w:r>
          </w:p>
        </w:tc>
        <w:tc>
          <w:tcPr>
            <w:tcW w:w="1380" w:type="dxa"/>
            <w:vAlign w:val="center"/>
          </w:tcPr>
          <w:p w14:paraId="4E22C9DF">
            <w:pPr>
              <w:keepNext w:val="0"/>
              <w:keepLines w:val="0"/>
              <w:pageBreakBefore w:val="0"/>
              <w:widowControl/>
              <w:kinsoku/>
              <w:wordWrap/>
              <w:overflowPunct/>
              <w:topLinePunct w:val="0"/>
              <w:autoSpaceDE/>
              <w:autoSpaceDN/>
              <w:bidi w:val="0"/>
              <w:adjustRightInd/>
              <w:snapToGrid/>
              <w:jc w:val="left"/>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720000</w:t>
            </w:r>
          </w:p>
        </w:tc>
      </w:tr>
      <w:tr w14:paraId="50448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0709E3F8">
            <w:pPr>
              <w:widowControl/>
              <w:jc w:val="center"/>
              <w:textAlignment w:val="center"/>
              <w:rPr>
                <w:rFonts w:hint="eastAsia" w:ascii="宋体" w:hAnsi="宋体" w:eastAsia="宋体" w:cs="宋体"/>
                <w:kern w:val="0"/>
                <w:sz w:val="28"/>
                <w:szCs w:val="28"/>
                <w:lang w:val="en-US" w:eastAsia="zh-CN"/>
              </w:rPr>
            </w:pPr>
          </w:p>
        </w:tc>
        <w:tc>
          <w:tcPr>
            <w:tcW w:w="4006" w:type="dxa"/>
            <w:vAlign w:val="center"/>
          </w:tcPr>
          <w:p w14:paraId="0428853F">
            <w:pPr>
              <w:keepNext w:val="0"/>
              <w:keepLines w:val="0"/>
              <w:pageBreakBefore w:val="0"/>
              <w:widowControl/>
              <w:kinsoku/>
              <w:wordWrap/>
              <w:overflowPunct/>
              <w:topLinePunct w:val="0"/>
              <w:autoSpaceDE/>
              <w:autoSpaceDN/>
              <w:bidi w:val="0"/>
              <w:adjustRightInd/>
              <w:snapToGrid/>
              <w:ind w:firstLine="560" w:firstLineChars="200"/>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纯水设备</w:t>
            </w:r>
          </w:p>
        </w:tc>
        <w:tc>
          <w:tcPr>
            <w:tcW w:w="910" w:type="dxa"/>
            <w:vAlign w:val="center"/>
          </w:tcPr>
          <w:p w14:paraId="69B5E7FD">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套</w:t>
            </w:r>
          </w:p>
        </w:tc>
        <w:tc>
          <w:tcPr>
            <w:tcW w:w="1155" w:type="dxa"/>
            <w:vAlign w:val="center"/>
          </w:tcPr>
          <w:p w14:paraId="1DA39601">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1545" w:type="dxa"/>
            <w:vAlign w:val="center"/>
          </w:tcPr>
          <w:p w14:paraId="47E3BCDA">
            <w:pPr>
              <w:keepNext w:val="0"/>
              <w:keepLines w:val="0"/>
              <w:pageBreakBefore w:val="0"/>
              <w:widowControl/>
              <w:kinsoku/>
              <w:wordWrap/>
              <w:overflowPunct/>
              <w:topLinePunct w:val="0"/>
              <w:autoSpaceDE/>
              <w:autoSpaceDN/>
              <w:bidi w:val="0"/>
              <w:adjustRightInd/>
              <w:snapToGrid/>
              <w:jc w:val="left"/>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75000</w:t>
            </w:r>
          </w:p>
        </w:tc>
        <w:tc>
          <w:tcPr>
            <w:tcW w:w="1380" w:type="dxa"/>
            <w:vAlign w:val="center"/>
          </w:tcPr>
          <w:p w14:paraId="5F3D029A">
            <w:pPr>
              <w:keepNext w:val="0"/>
              <w:keepLines w:val="0"/>
              <w:pageBreakBefore w:val="0"/>
              <w:widowControl/>
              <w:kinsoku/>
              <w:wordWrap/>
              <w:overflowPunct/>
              <w:topLinePunct w:val="0"/>
              <w:autoSpaceDE/>
              <w:autoSpaceDN/>
              <w:bidi w:val="0"/>
              <w:adjustRightInd/>
              <w:snapToGrid/>
              <w:jc w:val="left"/>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75000</w:t>
            </w:r>
          </w:p>
        </w:tc>
      </w:tr>
      <w:tr w14:paraId="43F82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1F96E729">
            <w:pPr>
              <w:widowControl/>
              <w:jc w:val="center"/>
              <w:textAlignment w:val="center"/>
              <w:rPr>
                <w:rFonts w:hint="eastAsia" w:ascii="宋体" w:hAnsi="宋体" w:eastAsia="宋体" w:cs="宋体"/>
                <w:kern w:val="0"/>
                <w:sz w:val="28"/>
                <w:szCs w:val="28"/>
                <w:lang w:val="en-US" w:eastAsia="zh-CN"/>
              </w:rPr>
            </w:pPr>
          </w:p>
        </w:tc>
        <w:tc>
          <w:tcPr>
            <w:tcW w:w="6071" w:type="dxa"/>
            <w:gridSpan w:val="3"/>
            <w:vAlign w:val="center"/>
          </w:tcPr>
          <w:p w14:paraId="25E88D6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总价合计</w:t>
            </w:r>
          </w:p>
        </w:tc>
        <w:tc>
          <w:tcPr>
            <w:tcW w:w="2925" w:type="dxa"/>
            <w:gridSpan w:val="2"/>
            <w:vAlign w:val="center"/>
          </w:tcPr>
          <w:p w14:paraId="0887BA6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795000</w:t>
            </w:r>
          </w:p>
        </w:tc>
      </w:tr>
      <w:tr w14:paraId="7514B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1BA2D23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4006" w:type="dxa"/>
            <w:vAlign w:val="center"/>
          </w:tcPr>
          <w:p w14:paraId="6BE5754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交付使用时间</w:t>
            </w:r>
          </w:p>
        </w:tc>
        <w:tc>
          <w:tcPr>
            <w:tcW w:w="4990" w:type="dxa"/>
            <w:gridSpan w:val="4"/>
            <w:vAlign w:val="center"/>
          </w:tcPr>
          <w:p w14:paraId="4AD7E93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color w:val="auto"/>
                <w:kern w:val="0"/>
                <w:sz w:val="28"/>
                <w:szCs w:val="28"/>
                <w:lang w:val="en-US" w:eastAsia="zh-CN"/>
              </w:rPr>
              <w:t>合同签订后</w:t>
            </w:r>
            <w:r>
              <w:rPr>
                <w:rFonts w:hint="eastAsia" w:ascii="宋体" w:hAnsi="宋体" w:cs="宋体"/>
                <w:color w:val="auto"/>
                <w:kern w:val="0"/>
                <w:sz w:val="28"/>
                <w:szCs w:val="28"/>
                <w:lang w:val="en-US" w:eastAsia="zh-CN"/>
              </w:rPr>
              <w:t>40</w:t>
            </w:r>
            <w:r>
              <w:rPr>
                <w:rFonts w:hint="eastAsia" w:ascii="宋体" w:hAnsi="宋体" w:eastAsia="宋体" w:cs="宋体"/>
                <w:color w:val="auto"/>
                <w:kern w:val="0"/>
                <w:sz w:val="28"/>
                <w:szCs w:val="28"/>
                <w:lang w:val="en-US" w:eastAsia="zh-CN"/>
              </w:rPr>
              <w:t>日内</w:t>
            </w:r>
          </w:p>
        </w:tc>
      </w:tr>
      <w:tr w14:paraId="3FE7E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565AFCE6">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4006" w:type="dxa"/>
            <w:vAlign w:val="center"/>
          </w:tcPr>
          <w:p w14:paraId="462284D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质保期</w:t>
            </w:r>
          </w:p>
        </w:tc>
        <w:tc>
          <w:tcPr>
            <w:tcW w:w="4990" w:type="dxa"/>
            <w:gridSpan w:val="4"/>
            <w:vAlign w:val="center"/>
          </w:tcPr>
          <w:p w14:paraId="43DCC64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1年</w:t>
            </w:r>
          </w:p>
        </w:tc>
      </w:tr>
      <w:tr w14:paraId="6B061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3" w:hRule="atLeast"/>
          <w:jc w:val="center"/>
        </w:trPr>
        <w:tc>
          <w:tcPr>
            <w:tcW w:w="1091" w:type="dxa"/>
            <w:vAlign w:val="center"/>
          </w:tcPr>
          <w:p w14:paraId="3CC2C2C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4006" w:type="dxa"/>
            <w:vAlign w:val="center"/>
          </w:tcPr>
          <w:p w14:paraId="485F9A6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4990" w:type="dxa"/>
            <w:gridSpan w:val="4"/>
            <w:vAlign w:val="center"/>
          </w:tcPr>
          <w:p w14:paraId="4B1C825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color w:val="auto"/>
                <w:kern w:val="0"/>
                <w:sz w:val="28"/>
                <w:szCs w:val="28"/>
                <w:lang w:val="en-US" w:eastAsia="zh-CN"/>
              </w:rPr>
              <w:t>货到验收合格后一次性付清</w:t>
            </w:r>
          </w:p>
        </w:tc>
      </w:tr>
      <w:tr w14:paraId="498B3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6065892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4006" w:type="dxa"/>
            <w:vAlign w:val="center"/>
          </w:tcPr>
          <w:p w14:paraId="2D8C35C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交付地点</w:t>
            </w:r>
          </w:p>
        </w:tc>
        <w:tc>
          <w:tcPr>
            <w:tcW w:w="4990" w:type="dxa"/>
            <w:gridSpan w:val="4"/>
            <w:vAlign w:val="center"/>
          </w:tcPr>
          <w:p w14:paraId="59F6991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鄂尔多斯市中心医院（康巴什部）</w:t>
            </w:r>
          </w:p>
        </w:tc>
      </w:tr>
      <w:tr w14:paraId="67CDC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3F89EB0D">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w:t>
            </w:r>
          </w:p>
        </w:tc>
        <w:tc>
          <w:tcPr>
            <w:tcW w:w="4006" w:type="dxa"/>
            <w:vAlign w:val="center"/>
          </w:tcPr>
          <w:p w14:paraId="5AE3EFF8">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资质要求</w:t>
            </w:r>
          </w:p>
        </w:tc>
        <w:tc>
          <w:tcPr>
            <w:tcW w:w="4990" w:type="dxa"/>
            <w:gridSpan w:val="4"/>
            <w:vAlign w:val="center"/>
          </w:tcPr>
          <w:p w14:paraId="66FA5E4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sz w:val="28"/>
                <w:szCs w:val="28"/>
              </w:rPr>
              <w:t>投标人</w:t>
            </w:r>
            <w:r>
              <w:rPr>
                <w:rFonts w:hint="eastAsia" w:ascii="宋体" w:hAnsi="宋体" w:eastAsia="宋体" w:cs="宋体"/>
                <w:sz w:val="28"/>
                <w:szCs w:val="28"/>
                <w:lang w:val="en-US" w:eastAsia="zh-CN"/>
              </w:rPr>
              <w:t>须</w:t>
            </w:r>
            <w:r>
              <w:rPr>
                <w:rFonts w:hint="eastAsia" w:ascii="宋体" w:hAnsi="宋体" w:eastAsia="宋体" w:cs="宋体"/>
                <w:sz w:val="28"/>
                <w:szCs w:val="28"/>
              </w:rPr>
              <w:t>具备行政主管部门颁发的</w:t>
            </w:r>
            <w:r>
              <w:rPr>
                <w:rFonts w:hint="eastAsia" w:ascii="宋体" w:hAnsi="宋体" w:eastAsia="宋体" w:cs="宋体"/>
                <w:sz w:val="28"/>
                <w:szCs w:val="28"/>
                <w:lang w:eastAsia="zh-CN"/>
              </w:rPr>
              <w:t>、</w:t>
            </w:r>
            <w:r>
              <w:rPr>
                <w:rFonts w:hint="eastAsia" w:ascii="宋体" w:hAnsi="宋体" w:eastAsia="宋体" w:cs="宋体"/>
                <w:sz w:val="28"/>
                <w:szCs w:val="28"/>
              </w:rPr>
              <w:t>有效期内的《中华人民共和国特种设备生产许可证（承压类特种设备安装、修理、改造）》锅炉安装（含改造、修理）B级及以上资质。</w:t>
            </w:r>
          </w:p>
        </w:tc>
      </w:tr>
    </w:tbl>
    <w:p w14:paraId="6E4C0A80">
      <w:pPr>
        <w:rPr>
          <w:rFonts w:hint="eastAsia" w:hAnsi="宋体"/>
          <w:sz w:val="24"/>
          <w:szCs w:val="24"/>
          <w:lang w:val="en-US" w:eastAsia="zh-CN"/>
        </w:rPr>
      </w:pPr>
      <w:r>
        <w:rPr>
          <w:rFonts w:hint="eastAsia" w:hAnsi="宋体"/>
          <w:sz w:val="24"/>
          <w:szCs w:val="24"/>
          <w:lang w:val="en-US" w:eastAsia="zh-CN"/>
        </w:rPr>
        <w:t xml:space="preserve">  </w:t>
      </w:r>
    </w:p>
    <w:p w14:paraId="4C773A18">
      <w:pPr>
        <w:rPr>
          <w:rFonts w:hint="eastAsia" w:hAnsi="宋体"/>
          <w:sz w:val="24"/>
          <w:szCs w:val="24"/>
          <w:lang w:val="en-US" w:eastAsia="zh-CN"/>
        </w:rPr>
      </w:pPr>
    </w:p>
    <w:p w14:paraId="27E9B3E8">
      <w:pPr>
        <w:keepNext w:val="0"/>
        <w:keepLines w:val="0"/>
        <w:pageBreakBefore w:val="0"/>
        <w:widowControl/>
        <w:numPr>
          <w:ilvl w:val="0"/>
          <w:numId w:val="2"/>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项目概况</w:t>
      </w:r>
    </w:p>
    <w:p w14:paraId="4F86E25A">
      <w:pPr>
        <w:ind w:firstLine="560" w:firstLineChars="200"/>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鄂尔多斯中心医院康巴什院区现有蒸汽锅炉热效率低、热能损耗大、烟气环保排放不达标，现更换为2台1200kg/h免监检</w:t>
      </w:r>
      <w:r>
        <w:rPr>
          <w:rFonts w:hint="eastAsia" w:ascii="宋体" w:hAnsi="宋体" w:eastAsia="宋体" w:cs="宋体"/>
          <w:spacing w:val="-8"/>
          <w:sz w:val="28"/>
          <w:szCs w:val="28"/>
          <w:highlight w:val="none"/>
        </w:rPr>
        <w:t>燃气</w:t>
      </w:r>
      <w:r>
        <w:rPr>
          <w:rFonts w:hint="eastAsia" w:ascii="宋体" w:hAnsi="宋体" w:eastAsia="宋体" w:cs="宋体"/>
          <w:spacing w:val="-8"/>
          <w:sz w:val="28"/>
          <w:szCs w:val="28"/>
          <w:highlight w:val="none"/>
          <w:lang w:val="en-US" w:eastAsia="zh-CN"/>
        </w:rPr>
        <w:t>蒸汽热源设备（水容积＜30L，热效率≥98%，烟气氮氧化物NOx排放≤30mg/m³）并增加1套3.0t/h反渗透纯水设备。</w:t>
      </w:r>
      <w:r>
        <w:rPr>
          <w:rFonts w:hint="eastAsia" w:ascii="宋体" w:hAnsi="宋体" w:eastAsia="宋体" w:cs="宋体"/>
          <w:sz w:val="28"/>
          <w:szCs w:val="28"/>
          <w:highlight w:val="none"/>
          <w:lang w:val="en-US" w:eastAsia="zh-CN"/>
        </w:rPr>
        <w:t>蒸汽主要用于消毒供应室、住院部和手术室卫生热水、洁净空调加湿、洁净空调冬季供暖、洗衣房毛巾洗涤等供应。</w:t>
      </w:r>
    </w:p>
    <w:p w14:paraId="49FECAFF">
      <w:pPr>
        <w:numPr>
          <w:ilvl w:val="0"/>
          <w:numId w:val="3"/>
        </w:numPr>
        <w:spacing w:line="360" w:lineRule="auto"/>
        <w:jc w:val="left"/>
        <w:rPr>
          <w:rFonts w:hint="eastAsia" w:ascii="宋体" w:hAnsi="宋体" w:eastAsia="宋体" w:cs="宋体"/>
          <w:sz w:val="28"/>
          <w:szCs w:val="28"/>
        </w:rPr>
      </w:pPr>
      <w:r>
        <w:rPr>
          <w:rFonts w:hint="eastAsia" w:ascii="宋体" w:hAnsi="宋体" w:eastAsia="宋体" w:cs="宋体"/>
          <w:sz w:val="28"/>
          <w:szCs w:val="28"/>
        </w:rPr>
        <w:t>技术参数和要求（功能和质量）</w:t>
      </w:r>
    </w:p>
    <w:p w14:paraId="53369F34">
      <w:pPr>
        <w:numPr>
          <w:ilvl w:val="0"/>
          <w:numId w:val="0"/>
        </w:numPr>
        <w:spacing w:line="360" w:lineRule="auto"/>
        <w:jc w:val="left"/>
        <w:rPr>
          <w:rFonts w:hint="eastAsia" w:ascii="宋体" w:hAnsi="宋体" w:eastAsia="宋体" w:cs="宋体"/>
          <w:sz w:val="28"/>
          <w:szCs w:val="28"/>
        </w:rPr>
      </w:pPr>
    </w:p>
    <w:tbl>
      <w:tblPr>
        <w:tblStyle w:val="15"/>
        <w:tblW w:w="10016" w:type="dxa"/>
        <w:tblInd w:w="-527" w:type="dxa"/>
        <w:tblLayout w:type="fixed"/>
        <w:tblCellMar>
          <w:top w:w="0" w:type="dxa"/>
          <w:left w:w="108" w:type="dxa"/>
          <w:bottom w:w="0" w:type="dxa"/>
          <w:right w:w="108" w:type="dxa"/>
        </w:tblCellMar>
      </w:tblPr>
      <w:tblGrid>
        <w:gridCol w:w="1440"/>
        <w:gridCol w:w="852"/>
        <w:gridCol w:w="7724"/>
      </w:tblGrid>
      <w:tr w14:paraId="611FCCCC">
        <w:tblPrEx>
          <w:tblCellMar>
            <w:top w:w="0" w:type="dxa"/>
            <w:left w:w="108" w:type="dxa"/>
            <w:bottom w:w="0" w:type="dxa"/>
            <w:right w:w="108" w:type="dxa"/>
          </w:tblCellMar>
        </w:tblPrEx>
        <w:trPr>
          <w:trHeight w:val="730" w:hRule="atLeast"/>
        </w:trPr>
        <w:tc>
          <w:tcPr>
            <w:tcW w:w="1440" w:type="dxa"/>
            <w:tcBorders>
              <w:top w:val="single" w:color="auto" w:sz="4" w:space="0"/>
              <w:left w:val="single" w:color="auto" w:sz="4" w:space="0"/>
              <w:bottom w:val="single" w:color="auto" w:sz="4" w:space="0"/>
              <w:right w:val="single" w:color="auto" w:sz="4" w:space="0"/>
            </w:tcBorders>
            <w:vAlign w:val="center"/>
          </w:tcPr>
          <w:p w14:paraId="7E94A91D">
            <w:pPr>
              <w:widowControl/>
              <w:jc w:val="center"/>
              <w:rPr>
                <w:rFonts w:hint="eastAsia" w:ascii="宋体" w:hAnsi="宋体" w:eastAsia="宋体" w:cs="宋体"/>
                <w:color w:val="auto"/>
                <w:sz w:val="24"/>
                <w:szCs w:val="24"/>
              </w:rPr>
            </w:pPr>
            <w:r>
              <w:rPr>
                <w:rFonts w:hint="eastAsia" w:ascii="宋体" w:hAnsi="宋体" w:eastAsia="宋体" w:cs="宋体"/>
                <w:color w:val="auto"/>
                <w:sz w:val="24"/>
                <w:szCs w:val="24"/>
              </w:rPr>
              <w:t>参数性质</w:t>
            </w:r>
          </w:p>
        </w:tc>
        <w:tc>
          <w:tcPr>
            <w:tcW w:w="852" w:type="dxa"/>
            <w:tcBorders>
              <w:top w:val="single" w:color="auto" w:sz="4" w:space="0"/>
              <w:left w:val="nil"/>
              <w:bottom w:val="single" w:color="auto" w:sz="4" w:space="0"/>
              <w:right w:val="single" w:color="auto" w:sz="4" w:space="0"/>
            </w:tcBorders>
            <w:vAlign w:val="center"/>
          </w:tcPr>
          <w:p w14:paraId="2D792AAD">
            <w:pPr>
              <w:widowControl/>
              <w:jc w:val="center"/>
              <w:rPr>
                <w:rFonts w:hint="eastAsia" w:ascii="宋体" w:hAnsi="宋体" w:eastAsia="宋体" w:cs="宋体"/>
                <w:color w:val="auto"/>
                <w:sz w:val="24"/>
                <w:szCs w:val="24"/>
              </w:rPr>
            </w:pPr>
            <w:r>
              <w:rPr>
                <w:rFonts w:hint="eastAsia" w:ascii="宋体" w:hAnsi="宋体" w:eastAsia="宋体" w:cs="宋体"/>
                <w:color w:val="auto"/>
                <w:sz w:val="24"/>
                <w:szCs w:val="24"/>
              </w:rPr>
              <w:t>编号</w:t>
            </w:r>
          </w:p>
        </w:tc>
        <w:tc>
          <w:tcPr>
            <w:tcW w:w="7724" w:type="dxa"/>
            <w:tcBorders>
              <w:top w:val="single" w:color="auto" w:sz="4" w:space="0"/>
              <w:left w:val="nil"/>
              <w:bottom w:val="single" w:color="auto" w:sz="4" w:space="0"/>
              <w:right w:val="single" w:color="auto" w:sz="4" w:space="0"/>
            </w:tcBorders>
            <w:vAlign w:val="center"/>
          </w:tcPr>
          <w:p w14:paraId="6758787A">
            <w:pPr>
              <w:widowControl/>
              <w:jc w:val="center"/>
              <w:rPr>
                <w:rFonts w:hint="eastAsia" w:ascii="宋体" w:hAnsi="宋体" w:eastAsia="宋体" w:cs="宋体"/>
                <w:color w:val="auto"/>
                <w:sz w:val="24"/>
                <w:szCs w:val="24"/>
              </w:rPr>
            </w:pPr>
            <w:r>
              <w:rPr>
                <w:rFonts w:hint="eastAsia" w:ascii="宋体" w:hAnsi="宋体" w:eastAsia="宋体" w:cs="宋体"/>
                <w:color w:val="auto"/>
                <w:sz w:val="24"/>
                <w:szCs w:val="24"/>
              </w:rPr>
              <w:t>技术参数和性能指标</w:t>
            </w:r>
          </w:p>
        </w:tc>
      </w:tr>
      <w:tr w14:paraId="0672BD47">
        <w:tblPrEx>
          <w:tblCellMar>
            <w:top w:w="0" w:type="dxa"/>
            <w:left w:w="108" w:type="dxa"/>
            <w:bottom w:w="0" w:type="dxa"/>
            <w:right w:w="108" w:type="dxa"/>
          </w:tblCellMar>
        </w:tblPrEx>
        <w:trPr>
          <w:trHeight w:val="882" w:hRule="atLeast"/>
        </w:trPr>
        <w:tc>
          <w:tcPr>
            <w:tcW w:w="10016" w:type="dxa"/>
            <w:gridSpan w:val="3"/>
            <w:tcBorders>
              <w:top w:val="single" w:color="auto" w:sz="4" w:space="0"/>
              <w:left w:val="single" w:color="auto" w:sz="4" w:space="0"/>
              <w:bottom w:val="single" w:color="auto" w:sz="4" w:space="0"/>
              <w:right w:val="single" w:color="auto" w:sz="4" w:space="0"/>
            </w:tcBorders>
            <w:vAlign w:val="center"/>
          </w:tcPr>
          <w:p w14:paraId="064F1E3C">
            <w:pPr>
              <w:widowControl/>
              <w:jc w:val="center"/>
              <w:rPr>
                <w:rFonts w:hint="eastAsia" w:ascii="宋体" w:hAnsi="宋体" w:eastAsia="宋体" w:cs="宋体"/>
                <w:color w:val="auto"/>
                <w:sz w:val="24"/>
                <w:szCs w:val="24"/>
                <w:lang w:val="en-US"/>
              </w:rPr>
            </w:pPr>
            <w:r>
              <w:rPr>
                <w:rFonts w:hint="eastAsia" w:ascii="宋体" w:hAnsi="宋体" w:eastAsia="宋体" w:cs="宋体"/>
                <w:bCs/>
                <w:color w:val="auto"/>
                <w:kern w:val="0"/>
                <w:sz w:val="24"/>
                <w:szCs w:val="24"/>
                <w:lang w:val="en-US" w:eastAsia="zh-CN"/>
              </w:rPr>
              <w:t xml:space="preserve">      燃气蒸汽发生器（燃气蒸汽机）</w:t>
            </w:r>
          </w:p>
        </w:tc>
      </w:tr>
      <w:tr w14:paraId="3C555EBE">
        <w:tblPrEx>
          <w:tblCellMar>
            <w:top w:w="0" w:type="dxa"/>
            <w:left w:w="108" w:type="dxa"/>
            <w:bottom w:w="0" w:type="dxa"/>
            <w:right w:w="108" w:type="dxa"/>
          </w:tblCellMar>
        </w:tblPrEx>
        <w:trPr>
          <w:trHeight w:val="804" w:hRule="atLeast"/>
        </w:trPr>
        <w:tc>
          <w:tcPr>
            <w:tcW w:w="1440" w:type="dxa"/>
            <w:tcBorders>
              <w:top w:val="single" w:color="auto" w:sz="4" w:space="0"/>
              <w:left w:val="single" w:color="auto" w:sz="4" w:space="0"/>
              <w:bottom w:val="single" w:color="auto" w:sz="4" w:space="0"/>
              <w:right w:val="single" w:color="auto" w:sz="4" w:space="0"/>
            </w:tcBorders>
            <w:vAlign w:val="center"/>
          </w:tcPr>
          <w:p w14:paraId="42FC776E">
            <w:pPr>
              <w:widowControl/>
              <w:ind w:left="420" w:hanging="420"/>
              <w:jc w:val="center"/>
              <w:rPr>
                <w:rFonts w:hint="eastAsia" w:ascii="宋体" w:hAnsi="宋体" w:eastAsia="宋体" w:cs="宋体"/>
                <w:color w:val="auto"/>
                <w:sz w:val="24"/>
                <w:szCs w:val="24"/>
                <w:lang w:bidi="lo-LA"/>
              </w:rPr>
            </w:pPr>
            <w:r>
              <w:rPr>
                <w:rFonts w:hint="eastAsia" w:ascii="宋体" w:hAnsi="宋体" w:eastAsia="宋体" w:cs="宋体"/>
                <w:color w:val="auto"/>
                <w:sz w:val="24"/>
                <w:szCs w:val="24"/>
                <w:lang w:bidi="lo-LA"/>
              </w:rPr>
              <w:t>★</w:t>
            </w:r>
          </w:p>
        </w:tc>
        <w:tc>
          <w:tcPr>
            <w:tcW w:w="852" w:type="dxa"/>
            <w:tcBorders>
              <w:top w:val="single" w:color="auto" w:sz="4" w:space="0"/>
              <w:left w:val="nil"/>
              <w:bottom w:val="single" w:color="auto" w:sz="4" w:space="0"/>
              <w:right w:val="single" w:color="auto" w:sz="4" w:space="0"/>
            </w:tcBorders>
            <w:vAlign w:val="center"/>
          </w:tcPr>
          <w:p w14:paraId="565983D8">
            <w:pPr>
              <w:pStyle w:val="19"/>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1</w:t>
            </w:r>
          </w:p>
        </w:tc>
        <w:tc>
          <w:tcPr>
            <w:tcW w:w="7724" w:type="dxa"/>
            <w:tcBorders>
              <w:top w:val="single" w:color="auto" w:sz="4" w:space="0"/>
              <w:left w:val="nil"/>
              <w:bottom w:val="single" w:color="auto" w:sz="4" w:space="0"/>
              <w:right w:val="single" w:color="auto" w:sz="4" w:space="0"/>
            </w:tcBorders>
            <w:vAlign w:val="center"/>
          </w:tcPr>
          <w:p w14:paraId="3386F040">
            <w:pPr>
              <w:spacing w:line="360" w:lineRule="auto"/>
              <w:rPr>
                <w:rFonts w:hint="eastAsia" w:ascii="宋体" w:hAnsi="宋体" w:eastAsia="宋体" w:cs="宋体"/>
                <w:b w:val="0"/>
                <w:bCs w:val="0"/>
                <w:color w:val="auto"/>
                <w:sz w:val="24"/>
                <w:szCs w:val="24"/>
                <w:lang w:val="en-US" w:eastAsia="zh-CN"/>
              </w:rPr>
            </w:pPr>
            <w:r>
              <w:rPr>
                <w:rFonts w:hint="eastAsia" w:ascii="宋体" w:hAnsi="宋体" w:eastAsia="宋体" w:cs="宋体"/>
                <w:snapToGrid w:val="0"/>
                <w:color w:val="auto"/>
                <w:kern w:val="0"/>
                <w:sz w:val="24"/>
                <w:szCs w:val="24"/>
                <w:highlight w:val="none"/>
                <w:lang w:val="en-US" w:eastAsia="zh-CN"/>
              </w:rPr>
              <w:t>额定蒸发量：≥1200kg/h</w:t>
            </w:r>
          </w:p>
        </w:tc>
      </w:tr>
      <w:tr w14:paraId="405B3DE2">
        <w:tblPrEx>
          <w:tblCellMar>
            <w:top w:w="0" w:type="dxa"/>
            <w:left w:w="108" w:type="dxa"/>
            <w:bottom w:w="0" w:type="dxa"/>
            <w:right w:w="108" w:type="dxa"/>
          </w:tblCellMar>
        </w:tblPrEx>
        <w:trPr>
          <w:trHeight w:val="676" w:hRule="atLeast"/>
        </w:trPr>
        <w:tc>
          <w:tcPr>
            <w:tcW w:w="1440" w:type="dxa"/>
            <w:tcBorders>
              <w:top w:val="single" w:color="auto" w:sz="4" w:space="0"/>
              <w:left w:val="single" w:color="auto" w:sz="4" w:space="0"/>
              <w:bottom w:val="single" w:color="auto" w:sz="4" w:space="0"/>
              <w:right w:val="single" w:color="auto" w:sz="4" w:space="0"/>
            </w:tcBorders>
            <w:vAlign w:val="center"/>
          </w:tcPr>
          <w:p w14:paraId="1497041E">
            <w:pPr>
              <w:widowControl/>
              <w:ind w:left="420" w:hanging="420"/>
              <w:jc w:val="center"/>
              <w:rPr>
                <w:rFonts w:hint="eastAsia" w:ascii="宋体" w:hAnsi="宋体" w:eastAsia="宋体" w:cs="宋体"/>
                <w:color w:val="auto"/>
                <w:sz w:val="24"/>
                <w:szCs w:val="24"/>
                <w:lang w:bidi="lo-LA"/>
              </w:rPr>
            </w:pPr>
            <w:r>
              <w:rPr>
                <w:rFonts w:hint="eastAsia" w:ascii="宋体" w:hAnsi="宋体" w:eastAsia="宋体" w:cs="宋体"/>
                <w:color w:val="auto"/>
                <w:sz w:val="24"/>
                <w:szCs w:val="24"/>
                <w:lang w:bidi="lo-LA"/>
              </w:rPr>
              <w:t>★</w:t>
            </w:r>
          </w:p>
        </w:tc>
        <w:tc>
          <w:tcPr>
            <w:tcW w:w="852" w:type="dxa"/>
            <w:tcBorders>
              <w:top w:val="single" w:color="auto" w:sz="4" w:space="0"/>
              <w:left w:val="nil"/>
              <w:bottom w:val="single" w:color="auto" w:sz="4" w:space="0"/>
              <w:right w:val="single" w:color="auto" w:sz="4" w:space="0"/>
            </w:tcBorders>
            <w:vAlign w:val="center"/>
          </w:tcPr>
          <w:p w14:paraId="19A11B34">
            <w:pPr>
              <w:pStyle w:val="19"/>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2</w:t>
            </w:r>
          </w:p>
        </w:tc>
        <w:tc>
          <w:tcPr>
            <w:tcW w:w="7724" w:type="dxa"/>
            <w:tcBorders>
              <w:top w:val="single" w:color="auto" w:sz="4" w:space="0"/>
              <w:left w:val="nil"/>
              <w:bottom w:val="single" w:color="auto" w:sz="4" w:space="0"/>
              <w:right w:val="single" w:color="auto" w:sz="4" w:space="0"/>
            </w:tcBorders>
            <w:vAlign w:val="center"/>
          </w:tcPr>
          <w:p w14:paraId="023CF6D1">
            <w:pPr>
              <w:pStyle w:val="13"/>
              <w:spacing w:line="360" w:lineRule="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snapToGrid w:val="0"/>
                <w:color w:val="auto"/>
                <w:kern w:val="0"/>
                <w:sz w:val="24"/>
                <w:szCs w:val="24"/>
                <w:highlight w:val="none"/>
                <w:lang w:val="en-US" w:eastAsia="zh-CN"/>
              </w:rPr>
              <w:t>额定蒸汽压力：≥1.0MPa，额定蒸汽温度：184℃</w:t>
            </w:r>
          </w:p>
        </w:tc>
      </w:tr>
      <w:tr w14:paraId="359BAC8D">
        <w:tblPrEx>
          <w:tblCellMar>
            <w:top w:w="0" w:type="dxa"/>
            <w:left w:w="108" w:type="dxa"/>
            <w:bottom w:w="0" w:type="dxa"/>
            <w:right w:w="108" w:type="dxa"/>
          </w:tblCellMar>
        </w:tblPrEx>
        <w:trPr>
          <w:trHeight w:val="775" w:hRule="atLeast"/>
        </w:trPr>
        <w:tc>
          <w:tcPr>
            <w:tcW w:w="1440" w:type="dxa"/>
            <w:tcBorders>
              <w:top w:val="single" w:color="auto" w:sz="4" w:space="0"/>
              <w:left w:val="single" w:color="auto" w:sz="4" w:space="0"/>
              <w:bottom w:val="single" w:color="auto" w:sz="4" w:space="0"/>
              <w:right w:val="single" w:color="auto" w:sz="4" w:space="0"/>
            </w:tcBorders>
            <w:vAlign w:val="center"/>
          </w:tcPr>
          <w:p w14:paraId="4FA2B434">
            <w:pPr>
              <w:widowControl/>
              <w:ind w:left="420" w:hanging="420"/>
              <w:jc w:val="center"/>
              <w:rPr>
                <w:rFonts w:hint="eastAsia" w:ascii="宋体" w:hAnsi="宋体" w:eastAsia="宋体" w:cs="宋体"/>
                <w:color w:val="auto"/>
                <w:sz w:val="24"/>
                <w:szCs w:val="24"/>
                <w:lang w:bidi="lo-LA"/>
              </w:rPr>
            </w:pPr>
            <w:r>
              <w:rPr>
                <w:rFonts w:hint="eastAsia" w:ascii="宋体" w:hAnsi="宋体" w:eastAsia="宋体" w:cs="宋体"/>
                <w:color w:val="auto"/>
                <w:sz w:val="24"/>
                <w:szCs w:val="24"/>
                <w:lang w:bidi="lo-LA"/>
              </w:rPr>
              <w:t>★</w:t>
            </w:r>
          </w:p>
        </w:tc>
        <w:tc>
          <w:tcPr>
            <w:tcW w:w="852" w:type="dxa"/>
            <w:tcBorders>
              <w:top w:val="single" w:color="auto" w:sz="4" w:space="0"/>
              <w:left w:val="nil"/>
              <w:bottom w:val="single" w:color="auto" w:sz="4" w:space="0"/>
              <w:right w:val="single" w:color="auto" w:sz="4" w:space="0"/>
            </w:tcBorders>
            <w:vAlign w:val="center"/>
          </w:tcPr>
          <w:p w14:paraId="1464759E">
            <w:pPr>
              <w:pStyle w:val="19"/>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3</w:t>
            </w:r>
          </w:p>
        </w:tc>
        <w:tc>
          <w:tcPr>
            <w:tcW w:w="7724" w:type="dxa"/>
            <w:tcBorders>
              <w:top w:val="single" w:color="auto" w:sz="4" w:space="0"/>
              <w:left w:val="nil"/>
              <w:bottom w:val="single" w:color="auto" w:sz="4" w:space="0"/>
              <w:right w:val="single" w:color="auto" w:sz="4" w:space="0"/>
            </w:tcBorders>
            <w:shd w:val="clear" w:color="auto" w:fill="auto"/>
            <w:vAlign w:val="center"/>
          </w:tcPr>
          <w:p w14:paraId="6A0F97DB">
            <w:pPr>
              <w:pStyle w:val="13"/>
              <w:spacing w:line="360" w:lineRule="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snapToGrid w:val="0"/>
                <w:color w:val="auto"/>
                <w:kern w:val="0"/>
                <w:sz w:val="24"/>
                <w:szCs w:val="24"/>
                <w:highlight w:val="none"/>
                <w:lang w:val="en-US" w:eastAsia="zh-CN"/>
              </w:rPr>
              <w:t xml:space="preserve">热效率：≥98% </w:t>
            </w:r>
          </w:p>
        </w:tc>
      </w:tr>
      <w:tr w14:paraId="1FC3D89D">
        <w:tblPrEx>
          <w:tblCellMar>
            <w:top w:w="0" w:type="dxa"/>
            <w:left w:w="108" w:type="dxa"/>
            <w:bottom w:w="0" w:type="dxa"/>
            <w:right w:w="108" w:type="dxa"/>
          </w:tblCellMar>
        </w:tblPrEx>
        <w:trPr>
          <w:trHeight w:val="601" w:hRule="atLeast"/>
        </w:trPr>
        <w:tc>
          <w:tcPr>
            <w:tcW w:w="1440" w:type="dxa"/>
            <w:tcBorders>
              <w:top w:val="single" w:color="auto" w:sz="4" w:space="0"/>
              <w:left w:val="single" w:color="auto" w:sz="4" w:space="0"/>
              <w:bottom w:val="single" w:color="auto" w:sz="4" w:space="0"/>
              <w:right w:val="single" w:color="auto" w:sz="4" w:space="0"/>
            </w:tcBorders>
            <w:vAlign w:val="center"/>
          </w:tcPr>
          <w:p w14:paraId="17D4F860">
            <w:pPr>
              <w:widowControl/>
              <w:ind w:left="420" w:hanging="420"/>
              <w:jc w:val="center"/>
              <w:rPr>
                <w:rFonts w:hint="eastAsia" w:ascii="宋体" w:hAnsi="宋体" w:eastAsia="宋体" w:cs="宋体"/>
                <w:color w:val="auto"/>
                <w:sz w:val="24"/>
                <w:szCs w:val="24"/>
                <w:lang w:bidi="lo-LA"/>
              </w:rPr>
            </w:pPr>
            <w:r>
              <w:rPr>
                <w:rFonts w:hint="eastAsia" w:ascii="宋体" w:hAnsi="宋体" w:eastAsia="宋体" w:cs="宋体"/>
                <w:color w:val="auto"/>
                <w:sz w:val="24"/>
                <w:szCs w:val="24"/>
                <w:lang w:bidi="lo-LA"/>
              </w:rPr>
              <w:t>★</w:t>
            </w:r>
          </w:p>
        </w:tc>
        <w:tc>
          <w:tcPr>
            <w:tcW w:w="852" w:type="dxa"/>
            <w:tcBorders>
              <w:top w:val="single" w:color="auto" w:sz="4" w:space="0"/>
              <w:left w:val="nil"/>
              <w:bottom w:val="single" w:color="auto" w:sz="4" w:space="0"/>
              <w:right w:val="single" w:color="auto" w:sz="4" w:space="0"/>
            </w:tcBorders>
            <w:vAlign w:val="center"/>
          </w:tcPr>
          <w:p w14:paraId="3ADE3087">
            <w:pPr>
              <w:pStyle w:val="19"/>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4</w:t>
            </w:r>
          </w:p>
        </w:tc>
        <w:tc>
          <w:tcPr>
            <w:tcW w:w="7724" w:type="dxa"/>
            <w:tcBorders>
              <w:top w:val="single" w:color="auto" w:sz="4" w:space="0"/>
              <w:left w:val="nil"/>
              <w:bottom w:val="single" w:color="auto" w:sz="4" w:space="0"/>
              <w:right w:val="single" w:color="auto" w:sz="4" w:space="0"/>
            </w:tcBorders>
            <w:shd w:val="clear" w:color="auto" w:fill="auto"/>
            <w:vAlign w:val="center"/>
          </w:tcPr>
          <w:p w14:paraId="25A813A9">
            <w:pPr>
              <w:spacing w:line="360" w:lineRule="auto"/>
              <w:rPr>
                <w:rFonts w:hint="default" w:ascii="宋体" w:hAnsi="宋体" w:eastAsia="宋体" w:cs="宋体"/>
                <w:b w:val="0"/>
                <w:bCs w:val="0"/>
                <w:color w:val="auto"/>
                <w:kern w:val="2"/>
                <w:sz w:val="24"/>
                <w:szCs w:val="24"/>
                <w:lang w:val="en-US" w:eastAsia="zh-CN" w:bidi="ar-SA"/>
              </w:rPr>
            </w:pPr>
            <w:r>
              <w:rPr>
                <w:rFonts w:hint="eastAsia" w:ascii="宋体" w:hAnsi="宋体" w:eastAsia="宋体" w:cs="宋体"/>
                <w:snapToGrid w:val="0"/>
                <w:color w:val="auto"/>
                <w:kern w:val="0"/>
                <w:sz w:val="24"/>
                <w:szCs w:val="24"/>
                <w:highlight w:val="none"/>
                <w:lang w:val="en-US" w:eastAsia="zh-CN"/>
              </w:rPr>
              <w:t>结构形式：相变式蒸汽发生器（蒸汽机）</w:t>
            </w:r>
          </w:p>
        </w:tc>
      </w:tr>
      <w:tr w14:paraId="5E966077">
        <w:tblPrEx>
          <w:tblCellMar>
            <w:top w:w="0" w:type="dxa"/>
            <w:left w:w="108" w:type="dxa"/>
            <w:bottom w:w="0" w:type="dxa"/>
            <w:right w:w="108" w:type="dxa"/>
          </w:tblCellMar>
        </w:tblPrEx>
        <w:trPr>
          <w:trHeight w:val="643" w:hRule="atLeast"/>
        </w:trPr>
        <w:tc>
          <w:tcPr>
            <w:tcW w:w="1440" w:type="dxa"/>
            <w:tcBorders>
              <w:top w:val="single" w:color="auto" w:sz="4" w:space="0"/>
              <w:left w:val="single" w:color="auto" w:sz="4" w:space="0"/>
              <w:bottom w:val="single" w:color="auto" w:sz="4" w:space="0"/>
              <w:right w:val="single" w:color="auto" w:sz="4" w:space="0"/>
            </w:tcBorders>
            <w:vAlign w:val="center"/>
          </w:tcPr>
          <w:p w14:paraId="034C95A0">
            <w:pPr>
              <w:widowControl/>
              <w:ind w:left="420" w:hanging="420"/>
              <w:jc w:val="center"/>
              <w:rPr>
                <w:rFonts w:hint="eastAsia" w:ascii="宋体" w:hAnsi="宋体" w:eastAsia="宋体" w:cs="宋体"/>
                <w:color w:val="auto"/>
                <w:sz w:val="24"/>
                <w:szCs w:val="24"/>
                <w:lang w:bidi="lo-LA"/>
              </w:rPr>
            </w:pPr>
            <w:r>
              <w:rPr>
                <w:rFonts w:hint="eastAsia" w:ascii="宋体" w:hAnsi="宋体" w:eastAsia="宋体" w:cs="宋体"/>
                <w:color w:val="auto"/>
                <w:sz w:val="24"/>
                <w:szCs w:val="24"/>
                <w:lang w:bidi="lo-LA"/>
              </w:rPr>
              <w:t>★</w:t>
            </w:r>
          </w:p>
        </w:tc>
        <w:tc>
          <w:tcPr>
            <w:tcW w:w="852" w:type="dxa"/>
            <w:tcBorders>
              <w:top w:val="single" w:color="auto" w:sz="4" w:space="0"/>
              <w:left w:val="nil"/>
              <w:bottom w:val="single" w:color="auto" w:sz="4" w:space="0"/>
              <w:right w:val="single" w:color="auto" w:sz="4" w:space="0"/>
            </w:tcBorders>
            <w:vAlign w:val="center"/>
          </w:tcPr>
          <w:p w14:paraId="70464A63">
            <w:pPr>
              <w:pStyle w:val="19"/>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5</w:t>
            </w:r>
          </w:p>
        </w:tc>
        <w:tc>
          <w:tcPr>
            <w:tcW w:w="7724" w:type="dxa"/>
            <w:tcBorders>
              <w:top w:val="single" w:color="auto" w:sz="4" w:space="0"/>
              <w:left w:val="nil"/>
              <w:bottom w:val="single" w:color="auto" w:sz="4" w:space="0"/>
              <w:right w:val="single" w:color="auto" w:sz="4" w:space="0"/>
            </w:tcBorders>
            <w:shd w:val="clear" w:color="auto" w:fill="auto"/>
            <w:vAlign w:val="center"/>
          </w:tcPr>
          <w:p w14:paraId="75FF16F3">
            <w:pPr>
              <w:spacing w:line="360" w:lineRule="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snapToGrid w:val="0"/>
                <w:color w:val="auto"/>
                <w:kern w:val="0"/>
                <w:sz w:val="24"/>
                <w:szCs w:val="24"/>
                <w:highlight w:val="none"/>
                <w:lang w:val="en-US" w:eastAsia="zh-CN"/>
              </w:rPr>
              <w:t>水容积：＜30L</w:t>
            </w:r>
          </w:p>
        </w:tc>
      </w:tr>
      <w:tr w14:paraId="43CDDC52">
        <w:tblPrEx>
          <w:tblCellMar>
            <w:top w:w="0" w:type="dxa"/>
            <w:left w:w="108" w:type="dxa"/>
            <w:bottom w:w="0" w:type="dxa"/>
            <w:right w:w="108" w:type="dxa"/>
          </w:tblCellMar>
        </w:tblPrEx>
        <w:trPr>
          <w:trHeight w:val="537" w:hRule="atLeast"/>
        </w:trPr>
        <w:tc>
          <w:tcPr>
            <w:tcW w:w="1440" w:type="dxa"/>
            <w:tcBorders>
              <w:top w:val="single" w:color="auto" w:sz="4" w:space="0"/>
              <w:left w:val="single" w:color="auto" w:sz="4" w:space="0"/>
              <w:bottom w:val="single" w:color="auto" w:sz="4" w:space="0"/>
              <w:right w:val="single" w:color="auto" w:sz="4" w:space="0"/>
            </w:tcBorders>
            <w:vAlign w:val="center"/>
          </w:tcPr>
          <w:p w14:paraId="36EAA79F">
            <w:pPr>
              <w:widowControl/>
              <w:ind w:left="420" w:hanging="420"/>
              <w:jc w:val="center"/>
              <w:rPr>
                <w:rFonts w:hint="eastAsia" w:ascii="宋体" w:hAnsi="宋体" w:eastAsia="宋体" w:cs="宋体"/>
                <w:color w:val="auto"/>
                <w:sz w:val="24"/>
                <w:szCs w:val="24"/>
                <w:lang w:bidi="lo-LA"/>
              </w:rPr>
            </w:pPr>
            <w:r>
              <w:rPr>
                <w:rFonts w:hint="eastAsia" w:ascii="宋体" w:hAnsi="宋体" w:eastAsia="宋体" w:cs="宋体"/>
                <w:color w:val="auto"/>
                <w:sz w:val="24"/>
                <w:szCs w:val="24"/>
                <w:lang w:bidi="lo-LA"/>
              </w:rPr>
              <w:t>★</w:t>
            </w:r>
          </w:p>
        </w:tc>
        <w:tc>
          <w:tcPr>
            <w:tcW w:w="852" w:type="dxa"/>
            <w:tcBorders>
              <w:top w:val="single" w:color="auto" w:sz="4" w:space="0"/>
              <w:left w:val="nil"/>
              <w:bottom w:val="single" w:color="auto" w:sz="4" w:space="0"/>
              <w:right w:val="single" w:color="auto" w:sz="4" w:space="0"/>
            </w:tcBorders>
            <w:vAlign w:val="center"/>
          </w:tcPr>
          <w:p w14:paraId="14C7036F">
            <w:pPr>
              <w:pStyle w:val="19"/>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6</w:t>
            </w:r>
          </w:p>
        </w:tc>
        <w:tc>
          <w:tcPr>
            <w:tcW w:w="7724" w:type="dxa"/>
            <w:tcBorders>
              <w:top w:val="single" w:color="auto" w:sz="4" w:space="0"/>
              <w:left w:val="nil"/>
              <w:bottom w:val="single" w:color="auto" w:sz="4" w:space="0"/>
              <w:right w:val="single" w:color="auto" w:sz="4" w:space="0"/>
            </w:tcBorders>
            <w:shd w:val="clear" w:color="auto" w:fill="auto"/>
            <w:vAlign w:val="center"/>
          </w:tcPr>
          <w:p w14:paraId="7CDEF1AB">
            <w:pPr>
              <w:spacing w:line="360" w:lineRule="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snapToGrid w:val="0"/>
                <w:color w:val="auto"/>
                <w:kern w:val="0"/>
                <w:sz w:val="24"/>
                <w:szCs w:val="24"/>
                <w:highlight w:val="none"/>
                <w:lang w:val="en-US" w:eastAsia="zh-CN"/>
              </w:rPr>
              <w:t>NOx排放浓度：≤30mg/m³</w:t>
            </w:r>
          </w:p>
        </w:tc>
      </w:tr>
      <w:tr w14:paraId="78EE56DF">
        <w:tblPrEx>
          <w:tblCellMar>
            <w:top w:w="0" w:type="dxa"/>
            <w:left w:w="108" w:type="dxa"/>
            <w:bottom w:w="0" w:type="dxa"/>
            <w:right w:w="108" w:type="dxa"/>
          </w:tblCellMar>
        </w:tblPrEx>
        <w:trPr>
          <w:trHeight w:val="537" w:hRule="atLeast"/>
        </w:trPr>
        <w:tc>
          <w:tcPr>
            <w:tcW w:w="1440" w:type="dxa"/>
            <w:tcBorders>
              <w:top w:val="single" w:color="auto" w:sz="4" w:space="0"/>
              <w:left w:val="single" w:color="auto" w:sz="4" w:space="0"/>
              <w:bottom w:val="single" w:color="auto" w:sz="4" w:space="0"/>
              <w:right w:val="single" w:color="auto" w:sz="4" w:space="0"/>
            </w:tcBorders>
            <w:vAlign w:val="center"/>
          </w:tcPr>
          <w:p w14:paraId="4144809B">
            <w:pPr>
              <w:widowControl/>
              <w:ind w:left="420" w:hanging="420"/>
              <w:jc w:val="center"/>
              <w:rPr>
                <w:rFonts w:hint="eastAsia" w:ascii="宋体" w:hAnsi="宋体" w:eastAsia="宋体" w:cs="宋体"/>
                <w:color w:val="auto"/>
                <w:sz w:val="24"/>
                <w:szCs w:val="24"/>
                <w:lang w:bidi="lo-LA"/>
              </w:rPr>
            </w:pPr>
            <w:r>
              <w:rPr>
                <w:rFonts w:hint="eastAsia" w:ascii="宋体" w:hAnsi="宋体" w:eastAsia="宋体" w:cs="宋体"/>
                <w:color w:val="auto"/>
                <w:sz w:val="24"/>
                <w:szCs w:val="24"/>
                <w:lang w:bidi="lo-LA"/>
              </w:rPr>
              <w:t>★</w:t>
            </w:r>
          </w:p>
        </w:tc>
        <w:tc>
          <w:tcPr>
            <w:tcW w:w="852" w:type="dxa"/>
            <w:tcBorders>
              <w:top w:val="single" w:color="auto" w:sz="4" w:space="0"/>
              <w:left w:val="nil"/>
              <w:bottom w:val="single" w:color="auto" w:sz="4" w:space="0"/>
              <w:right w:val="single" w:color="auto" w:sz="4" w:space="0"/>
            </w:tcBorders>
            <w:vAlign w:val="center"/>
          </w:tcPr>
          <w:p w14:paraId="048CFE37">
            <w:pPr>
              <w:pStyle w:val="19"/>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7</w:t>
            </w:r>
          </w:p>
        </w:tc>
        <w:tc>
          <w:tcPr>
            <w:tcW w:w="7724" w:type="dxa"/>
            <w:tcBorders>
              <w:top w:val="single" w:color="auto" w:sz="4" w:space="0"/>
              <w:left w:val="nil"/>
              <w:bottom w:val="single" w:color="auto" w:sz="4" w:space="0"/>
              <w:right w:val="single" w:color="auto" w:sz="4" w:space="0"/>
            </w:tcBorders>
            <w:shd w:val="clear" w:color="auto" w:fill="auto"/>
            <w:vAlign w:val="center"/>
          </w:tcPr>
          <w:p w14:paraId="7BAF5E68">
            <w:pPr>
              <w:spacing w:line="360" w:lineRule="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color w:val="auto"/>
                <w:kern w:val="0"/>
                <w:sz w:val="24"/>
                <w:szCs w:val="24"/>
                <w:highlight w:val="none"/>
                <w:lang w:bidi="ar"/>
              </w:rPr>
              <w:t>天然气耗量：≤</w:t>
            </w:r>
            <w:r>
              <w:rPr>
                <w:rFonts w:hint="eastAsia" w:ascii="宋体" w:hAnsi="宋体" w:eastAsia="宋体" w:cs="宋体"/>
                <w:color w:val="auto"/>
                <w:kern w:val="0"/>
                <w:sz w:val="24"/>
                <w:szCs w:val="24"/>
                <w:highlight w:val="none"/>
                <w:lang w:val="en-US" w:eastAsia="zh-CN" w:bidi="ar"/>
              </w:rPr>
              <w:t>93.9</w:t>
            </w:r>
            <w:r>
              <w:rPr>
                <w:rFonts w:hint="eastAsia" w:ascii="宋体" w:hAnsi="宋体" w:eastAsia="宋体" w:cs="宋体"/>
                <w:color w:val="auto"/>
                <w:kern w:val="0"/>
                <w:sz w:val="24"/>
                <w:szCs w:val="24"/>
                <w:highlight w:val="none"/>
                <w:lang w:bidi="ar"/>
              </w:rPr>
              <w:t>Nm³/h</w:t>
            </w:r>
            <w:r>
              <w:rPr>
                <w:rFonts w:hint="eastAsia" w:ascii="宋体" w:hAnsi="宋体" w:eastAsia="宋体" w:cs="宋体"/>
                <w:color w:val="auto"/>
                <w:kern w:val="0"/>
                <w:sz w:val="24"/>
                <w:szCs w:val="24"/>
                <w:highlight w:val="none"/>
                <w:lang w:val="en-US" w:eastAsia="zh-CN" w:bidi="ar"/>
              </w:rPr>
              <w:t xml:space="preserve"> </w:t>
            </w:r>
          </w:p>
        </w:tc>
      </w:tr>
      <w:tr w14:paraId="13FA70D5">
        <w:tblPrEx>
          <w:tblCellMar>
            <w:top w:w="0" w:type="dxa"/>
            <w:left w:w="108" w:type="dxa"/>
            <w:bottom w:w="0" w:type="dxa"/>
            <w:right w:w="108" w:type="dxa"/>
          </w:tblCellMar>
        </w:tblPrEx>
        <w:trPr>
          <w:trHeight w:val="629" w:hRule="atLeast"/>
        </w:trPr>
        <w:tc>
          <w:tcPr>
            <w:tcW w:w="1440" w:type="dxa"/>
            <w:tcBorders>
              <w:top w:val="single" w:color="auto" w:sz="4" w:space="0"/>
              <w:left w:val="single" w:color="auto" w:sz="4" w:space="0"/>
              <w:bottom w:val="single" w:color="auto" w:sz="4" w:space="0"/>
              <w:right w:val="single" w:color="auto" w:sz="4" w:space="0"/>
            </w:tcBorders>
            <w:vAlign w:val="center"/>
          </w:tcPr>
          <w:p w14:paraId="42B999E2">
            <w:pPr>
              <w:widowControl/>
              <w:ind w:left="420" w:hanging="420"/>
              <w:jc w:val="center"/>
              <w:rPr>
                <w:rFonts w:hint="eastAsia" w:ascii="宋体" w:hAnsi="宋体" w:eastAsia="宋体" w:cs="宋体"/>
                <w:color w:val="auto"/>
                <w:sz w:val="24"/>
                <w:szCs w:val="24"/>
                <w:lang w:bidi="lo-LA"/>
              </w:rPr>
            </w:pPr>
          </w:p>
        </w:tc>
        <w:tc>
          <w:tcPr>
            <w:tcW w:w="852" w:type="dxa"/>
            <w:tcBorders>
              <w:top w:val="single" w:color="auto" w:sz="4" w:space="0"/>
              <w:left w:val="nil"/>
              <w:bottom w:val="single" w:color="auto" w:sz="4" w:space="0"/>
              <w:right w:val="single" w:color="auto" w:sz="4" w:space="0"/>
            </w:tcBorders>
            <w:vAlign w:val="center"/>
          </w:tcPr>
          <w:p w14:paraId="72186E7B">
            <w:pPr>
              <w:pStyle w:val="19"/>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8</w:t>
            </w:r>
          </w:p>
        </w:tc>
        <w:tc>
          <w:tcPr>
            <w:tcW w:w="7724" w:type="dxa"/>
            <w:tcBorders>
              <w:top w:val="single" w:color="auto" w:sz="4" w:space="0"/>
              <w:left w:val="nil"/>
              <w:bottom w:val="single" w:color="auto" w:sz="4" w:space="0"/>
              <w:right w:val="single" w:color="auto" w:sz="4" w:space="0"/>
            </w:tcBorders>
            <w:vAlign w:val="center"/>
          </w:tcPr>
          <w:p w14:paraId="7A40B43F">
            <w:pPr>
              <w:spacing w:line="360" w:lineRule="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color w:val="auto"/>
                <w:kern w:val="0"/>
                <w:sz w:val="24"/>
                <w:szCs w:val="24"/>
                <w:highlight w:val="none"/>
                <w:lang w:bidi="ar"/>
              </w:rPr>
              <w:t>运行噪音：≤</w:t>
            </w:r>
            <w:r>
              <w:rPr>
                <w:rFonts w:hint="eastAsia" w:ascii="宋体" w:hAnsi="宋体" w:eastAsia="宋体" w:cs="宋体"/>
                <w:color w:val="auto"/>
                <w:kern w:val="0"/>
                <w:sz w:val="24"/>
                <w:szCs w:val="24"/>
                <w:highlight w:val="none"/>
                <w:lang w:val="en-US" w:eastAsia="zh-CN" w:bidi="ar"/>
              </w:rPr>
              <w:t>80</w:t>
            </w:r>
            <w:r>
              <w:rPr>
                <w:rFonts w:hint="eastAsia" w:ascii="宋体" w:hAnsi="宋体" w:eastAsia="宋体" w:cs="宋体"/>
                <w:color w:val="auto"/>
                <w:kern w:val="0"/>
                <w:sz w:val="24"/>
                <w:szCs w:val="24"/>
                <w:highlight w:val="none"/>
                <w:lang w:bidi="ar"/>
              </w:rPr>
              <w:t>dB</w:t>
            </w:r>
          </w:p>
        </w:tc>
      </w:tr>
      <w:tr w14:paraId="42233F8E">
        <w:tblPrEx>
          <w:tblCellMar>
            <w:top w:w="0" w:type="dxa"/>
            <w:left w:w="108" w:type="dxa"/>
            <w:bottom w:w="0" w:type="dxa"/>
            <w:right w:w="108" w:type="dxa"/>
          </w:tblCellMar>
        </w:tblPrEx>
        <w:trPr>
          <w:trHeight w:val="537" w:hRule="atLeast"/>
        </w:trPr>
        <w:tc>
          <w:tcPr>
            <w:tcW w:w="1440" w:type="dxa"/>
            <w:tcBorders>
              <w:top w:val="single" w:color="auto" w:sz="4" w:space="0"/>
              <w:left w:val="single" w:color="auto" w:sz="4" w:space="0"/>
              <w:bottom w:val="single" w:color="auto" w:sz="4" w:space="0"/>
              <w:right w:val="single" w:color="auto" w:sz="4" w:space="0"/>
            </w:tcBorders>
            <w:vAlign w:val="center"/>
          </w:tcPr>
          <w:p w14:paraId="0A34459D">
            <w:pPr>
              <w:widowControl/>
              <w:ind w:left="420" w:hanging="420"/>
              <w:jc w:val="center"/>
              <w:rPr>
                <w:rFonts w:hint="eastAsia" w:ascii="宋体" w:hAnsi="宋体" w:eastAsia="宋体" w:cs="宋体"/>
                <w:color w:val="auto"/>
                <w:sz w:val="24"/>
                <w:szCs w:val="24"/>
                <w:lang w:bidi="lo-LA"/>
              </w:rPr>
            </w:pPr>
          </w:p>
        </w:tc>
        <w:tc>
          <w:tcPr>
            <w:tcW w:w="852" w:type="dxa"/>
            <w:tcBorders>
              <w:top w:val="single" w:color="auto" w:sz="4" w:space="0"/>
              <w:left w:val="nil"/>
              <w:bottom w:val="single" w:color="auto" w:sz="4" w:space="0"/>
              <w:right w:val="single" w:color="auto" w:sz="4" w:space="0"/>
            </w:tcBorders>
            <w:vAlign w:val="center"/>
          </w:tcPr>
          <w:p w14:paraId="0111381E">
            <w:pPr>
              <w:pStyle w:val="19"/>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9</w:t>
            </w:r>
          </w:p>
        </w:tc>
        <w:tc>
          <w:tcPr>
            <w:tcW w:w="7724" w:type="dxa"/>
            <w:tcBorders>
              <w:top w:val="single" w:color="auto" w:sz="4" w:space="0"/>
              <w:left w:val="nil"/>
              <w:bottom w:val="single" w:color="auto" w:sz="4" w:space="0"/>
              <w:right w:val="single" w:color="auto" w:sz="4" w:space="0"/>
            </w:tcBorders>
            <w:vAlign w:val="center"/>
          </w:tcPr>
          <w:p w14:paraId="58FA9738">
            <w:pPr>
              <w:spacing w:line="360" w:lineRule="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color w:val="auto"/>
                <w:kern w:val="0"/>
                <w:sz w:val="24"/>
                <w:szCs w:val="24"/>
                <w:lang w:val="en-US" w:eastAsia="zh-CN" w:bidi="ar"/>
              </w:rPr>
              <w:t>配电功率：≤9.0KW</w:t>
            </w:r>
          </w:p>
        </w:tc>
      </w:tr>
      <w:tr w14:paraId="6010EED6">
        <w:tblPrEx>
          <w:tblCellMar>
            <w:top w:w="0" w:type="dxa"/>
            <w:left w:w="108" w:type="dxa"/>
            <w:bottom w:w="0" w:type="dxa"/>
            <w:right w:w="108" w:type="dxa"/>
          </w:tblCellMar>
        </w:tblPrEx>
        <w:trPr>
          <w:trHeight w:val="562" w:hRule="atLeast"/>
        </w:trPr>
        <w:tc>
          <w:tcPr>
            <w:tcW w:w="1440" w:type="dxa"/>
            <w:tcBorders>
              <w:top w:val="single" w:color="auto" w:sz="4" w:space="0"/>
              <w:left w:val="single" w:color="auto" w:sz="4" w:space="0"/>
              <w:bottom w:val="single" w:color="auto" w:sz="4" w:space="0"/>
              <w:right w:val="single" w:color="auto" w:sz="4" w:space="0"/>
            </w:tcBorders>
            <w:vAlign w:val="center"/>
          </w:tcPr>
          <w:p w14:paraId="6E4F5F70">
            <w:pPr>
              <w:widowControl/>
              <w:ind w:left="420" w:hanging="420"/>
              <w:jc w:val="center"/>
              <w:rPr>
                <w:rFonts w:hint="eastAsia" w:ascii="宋体" w:hAnsi="宋体" w:eastAsia="宋体" w:cs="宋体"/>
                <w:color w:val="auto"/>
                <w:sz w:val="24"/>
                <w:szCs w:val="24"/>
                <w:lang w:bidi="lo-LA"/>
              </w:rPr>
            </w:pPr>
          </w:p>
        </w:tc>
        <w:tc>
          <w:tcPr>
            <w:tcW w:w="852" w:type="dxa"/>
            <w:tcBorders>
              <w:top w:val="single" w:color="auto" w:sz="4" w:space="0"/>
              <w:left w:val="nil"/>
              <w:bottom w:val="single" w:color="auto" w:sz="4" w:space="0"/>
              <w:right w:val="single" w:color="auto" w:sz="4" w:space="0"/>
            </w:tcBorders>
            <w:vAlign w:val="center"/>
          </w:tcPr>
          <w:p w14:paraId="145E92F9">
            <w:pPr>
              <w:pStyle w:val="19"/>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10</w:t>
            </w:r>
          </w:p>
        </w:tc>
        <w:tc>
          <w:tcPr>
            <w:tcW w:w="7724" w:type="dxa"/>
            <w:tcBorders>
              <w:top w:val="single" w:color="auto" w:sz="4" w:space="0"/>
              <w:left w:val="nil"/>
              <w:bottom w:val="single" w:color="auto" w:sz="4" w:space="0"/>
              <w:right w:val="single" w:color="auto" w:sz="4" w:space="0"/>
            </w:tcBorders>
            <w:vAlign w:val="center"/>
          </w:tcPr>
          <w:p w14:paraId="44677C66">
            <w:pPr>
              <w:widowControl/>
              <w:spacing w:line="240" w:lineRule="auto"/>
              <w:jc w:val="both"/>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color w:val="auto"/>
                <w:kern w:val="0"/>
                <w:sz w:val="24"/>
                <w:szCs w:val="24"/>
                <w:lang w:val="en-US" w:eastAsia="zh-CN" w:bidi="ar"/>
              </w:rPr>
              <w:t>天然气压力：10～15KPa</w:t>
            </w:r>
          </w:p>
        </w:tc>
      </w:tr>
      <w:tr w14:paraId="1AAE3C12">
        <w:tblPrEx>
          <w:tblCellMar>
            <w:top w:w="0" w:type="dxa"/>
            <w:left w:w="108" w:type="dxa"/>
            <w:bottom w:w="0" w:type="dxa"/>
            <w:right w:w="108" w:type="dxa"/>
          </w:tblCellMar>
        </w:tblPrEx>
        <w:trPr>
          <w:trHeight w:val="1569" w:hRule="atLeast"/>
        </w:trPr>
        <w:tc>
          <w:tcPr>
            <w:tcW w:w="1440" w:type="dxa"/>
            <w:tcBorders>
              <w:top w:val="single" w:color="auto" w:sz="4" w:space="0"/>
              <w:left w:val="single" w:color="auto" w:sz="4" w:space="0"/>
              <w:bottom w:val="single" w:color="auto" w:sz="4" w:space="0"/>
              <w:right w:val="single" w:color="auto" w:sz="4" w:space="0"/>
            </w:tcBorders>
            <w:vAlign w:val="center"/>
          </w:tcPr>
          <w:p w14:paraId="7604E1CA">
            <w:pPr>
              <w:widowControl/>
              <w:ind w:left="420" w:hanging="420"/>
              <w:jc w:val="center"/>
              <w:rPr>
                <w:rFonts w:hint="eastAsia" w:ascii="宋体" w:hAnsi="宋体" w:eastAsia="宋体" w:cs="宋体"/>
                <w:color w:val="auto"/>
                <w:sz w:val="24"/>
                <w:szCs w:val="24"/>
                <w:lang w:bidi="lo-LA"/>
              </w:rPr>
            </w:pPr>
            <w:r>
              <w:rPr>
                <w:rFonts w:hint="eastAsia" w:ascii="宋体" w:hAnsi="宋体" w:eastAsia="宋体" w:cs="宋体"/>
                <w:color w:val="auto"/>
                <w:sz w:val="24"/>
                <w:szCs w:val="24"/>
                <w:lang w:bidi="lo-LA"/>
              </w:rPr>
              <w:t>★</w:t>
            </w:r>
          </w:p>
        </w:tc>
        <w:tc>
          <w:tcPr>
            <w:tcW w:w="852" w:type="dxa"/>
            <w:tcBorders>
              <w:top w:val="single" w:color="auto" w:sz="4" w:space="0"/>
              <w:left w:val="nil"/>
              <w:bottom w:val="single" w:color="auto" w:sz="4" w:space="0"/>
              <w:right w:val="single" w:color="auto" w:sz="4" w:space="0"/>
            </w:tcBorders>
            <w:vAlign w:val="center"/>
          </w:tcPr>
          <w:p w14:paraId="1510ABF1">
            <w:pPr>
              <w:pStyle w:val="19"/>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11</w:t>
            </w:r>
          </w:p>
        </w:tc>
        <w:tc>
          <w:tcPr>
            <w:tcW w:w="7724" w:type="dxa"/>
            <w:tcBorders>
              <w:top w:val="single" w:color="auto" w:sz="4" w:space="0"/>
              <w:left w:val="nil"/>
              <w:bottom w:val="single" w:color="auto" w:sz="4" w:space="0"/>
              <w:right w:val="single" w:color="auto" w:sz="4" w:space="0"/>
            </w:tcBorders>
            <w:vAlign w:val="center"/>
          </w:tcPr>
          <w:p w14:paraId="1038374F">
            <w:pPr>
              <w:spacing w:line="360" w:lineRule="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color w:val="auto"/>
                <w:kern w:val="0"/>
                <w:sz w:val="24"/>
                <w:szCs w:val="24"/>
                <w:lang w:bidi="ar"/>
              </w:rPr>
              <w:t>需采用高效环保、节能</w:t>
            </w:r>
            <w:r>
              <w:rPr>
                <w:rFonts w:hint="eastAsia" w:ascii="宋体" w:hAnsi="宋体" w:eastAsia="宋体" w:cs="宋体"/>
                <w:color w:val="auto"/>
                <w:kern w:val="0"/>
                <w:sz w:val="24"/>
                <w:szCs w:val="24"/>
                <w:lang w:val="en-US" w:eastAsia="zh-CN" w:bidi="ar"/>
              </w:rPr>
              <w:t>型</w:t>
            </w:r>
            <w:r>
              <w:rPr>
                <w:rFonts w:hint="eastAsia" w:ascii="宋体" w:hAnsi="宋体" w:eastAsia="宋体" w:cs="宋体"/>
                <w:color w:val="auto"/>
                <w:kern w:val="0"/>
                <w:sz w:val="24"/>
                <w:szCs w:val="24"/>
                <w:lang w:bidi="ar"/>
              </w:rPr>
              <w:t>低氮燃烧</w:t>
            </w:r>
            <w:r>
              <w:rPr>
                <w:rFonts w:hint="eastAsia" w:ascii="宋体" w:hAnsi="宋体" w:eastAsia="宋体" w:cs="宋体"/>
                <w:color w:val="auto"/>
                <w:kern w:val="0"/>
                <w:sz w:val="24"/>
                <w:szCs w:val="24"/>
                <w:lang w:val="en-US" w:eastAsia="zh-CN" w:bidi="ar"/>
              </w:rPr>
              <w:t>器</w:t>
            </w:r>
            <w:r>
              <w:rPr>
                <w:rFonts w:hint="eastAsia" w:ascii="宋体" w:hAnsi="宋体" w:eastAsia="宋体" w:cs="宋体"/>
                <w:color w:val="auto"/>
                <w:kern w:val="0"/>
                <w:sz w:val="24"/>
                <w:szCs w:val="24"/>
                <w:lang w:bidi="ar"/>
              </w:rPr>
              <w:t>，确保NOx≤30mg/m³排放</w:t>
            </w:r>
            <w:r>
              <w:rPr>
                <w:rFonts w:hint="eastAsia" w:ascii="宋体" w:hAnsi="宋体" w:eastAsia="宋体" w:cs="宋体"/>
                <w:color w:val="auto"/>
                <w:kern w:val="0"/>
                <w:sz w:val="24"/>
                <w:szCs w:val="24"/>
                <w:lang w:val="en-US" w:eastAsia="zh-CN" w:bidi="ar"/>
              </w:rPr>
              <w:t>,同时</w:t>
            </w:r>
            <w:r>
              <w:rPr>
                <w:rFonts w:hint="eastAsia" w:ascii="宋体" w:hAnsi="宋体" w:eastAsia="宋体" w:cs="宋体"/>
                <w:color w:val="auto"/>
                <w:kern w:val="0"/>
                <w:sz w:val="24"/>
                <w:szCs w:val="24"/>
                <w:lang w:bidi="ar"/>
              </w:rPr>
              <w:t>具有</w:t>
            </w:r>
            <w:r>
              <w:rPr>
                <w:rFonts w:hint="eastAsia" w:ascii="宋体" w:hAnsi="宋体" w:eastAsia="宋体" w:cs="宋体"/>
                <w:color w:val="auto"/>
                <w:kern w:val="0"/>
                <w:sz w:val="24"/>
                <w:szCs w:val="24"/>
                <w:lang w:val="en-US" w:eastAsia="zh-CN" w:bidi="ar"/>
              </w:rPr>
              <w:t>30%～100%</w:t>
            </w:r>
            <w:r>
              <w:rPr>
                <w:rFonts w:hint="eastAsia" w:ascii="宋体" w:hAnsi="宋体" w:eastAsia="宋体" w:cs="宋体"/>
                <w:b/>
                <w:bCs/>
                <w:color w:val="auto"/>
                <w:kern w:val="0"/>
                <w:sz w:val="24"/>
                <w:szCs w:val="24"/>
                <w:lang w:val="en-US" w:eastAsia="zh-CN" w:bidi="ar"/>
              </w:rPr>
              <w:t>变频</w:t>
            </w:r>
            <w:r>
              <w:rPr>
                <w:rFonts w:hint="eastAsia" w:ascii="宋体" w:hAnsi="宋体" w:eastAsia="宋体" w:cs="宋体"/>
                <w:b/>
                <w:bCs/>
                <w:color w:val="auto"/>
                <w:kern w:val="0"/>
                <w:sz w:val="24"/>
                <w:szCs w:val="24"/>
                <w:lang w:bidi="ar"/>
              </w:rPr>
              <w:t>电子比例</w:t>
            </w:r>
            <w:r>
              <w:rPr>
                <w:rFonts w:hint="eastAsia" w:ascii="宋体" w:hAnsi="宋体" w:eastAsia="宋体" w:cs="宋体"/>
                <w:color w:val="auto"/>
                <w:kern w:val="0"/>
                <w:sz w:val="24"/>
                <w:szCs w:val="24"/>
                <w:lang w:bidi="ar"/>
              </w:rPr>
              <w:t>调节、压力检测、检漏、燃气（燃油）过滤、风压检测、火焰安全检测、过载保护和连接保护功能</w:t>
            </w:r>
          </w:p>
        </w:tc>
      </w:tr>
      <w:tr w14:paraId="09905A58">
        <w:tblPrEx>
          <w:tblCellMar>
            <w:top w:w="0" w:type="dxa"/>
            <w:left w:w="108" w:type="dxa"/>
            <w:bottom w:w="0" w:type="dxa"/>
            <w:right w:w="108" w:type="dxa"/>
          </w:tblCellMar>
        </w:tblPrEx>
        <w:trPr>
          <w:trHeight w:val="1076" w:hRule="atLeast"/>
        </w:trPr>
        <w:tc>
          <w:tcPr>
            <w:tcW w:w="1440" w:type="dxa"/>
            <w:tcBorders>
              <w:top w:val="single" w:color="auto" w:sz="4" w:space="0"/>
              <w:left w:val="single" w:color="auto" w:sz="4" w:space="0"/>
              <w:bottom w:val="single" w:color="auto" w:sz="4" w:space="0"/>
              <w:right w:val="single" w:color="auto" w:sz="4" w:space="0"/>
            </w:tcBorders>
            <w:vAlign w:val="center"/>
          </w:tcPr>
          <w:p w14:paraId="232C50CF">
            <w:pPr>
              <w:widowControl/>
              <w:ind w:left="420" w:hanging="420"/>
              <w:jc w:val="center"/>
              <w:rPr>
                <w:rFonts w:hint="eastAsia" w:ascii="宋体" w:hAnsi="宋体" w:eastAsia="宋体" w:cs="宋体"/>
                <w:color w:val="auto"/>
                <w:sz w:val="24"/>
                <w:szCs w:val="24"/>
                <w:lang w:bidi="lo-LA"/>
              </w:rPr>
            </w:pPr>
          </w:p>
        </w:tc>
        <w:tc>
          <w:tcPr>
            <w:tcW w:w="852" w:type="dxa"/>
            <w:tcBorders>
              <w:top w:val="single" w:color="auto" w:sz="4" w:space="0"/>
              <w:left w:val="nil"/>
              <w:bottom w:val="single" w:color="auto" w:sz="4" w:space="0"/>
              <w:right w:val="single" w:color="auto" w:sz="4" w:space="0"/>
            </w:tcBorders>
            <w:vAlign w:val="center"/>
          </w:tcPr>
          <w:p w14:paraId="59714D84">
            <w:pPr>
              <w:pStyle w:val="19"/>
              <w:widowControl/>
              <w:ind w:firstLine="0" w:firstLineChars="0"/>
              <w:jc w:val="center"/>
              <w:rPr>
                <w:rFonts w:hint="eastAsia" w:ascii="宋体" w:hAnsi="宋体" w:eastAsia="宋体" w:cs="宋体"/>
                <w:color w:val="auto"/>
                <w:kern w:val="0"/>
                <w:sz w:val="24"/>
                <w:szCs w:val="24"/>
                <w:lang w:bidi="lo-LA"/>
              </w:rPr>
            </w:pPr>
            <w:r>
              <w:rPr>
                <w:rFonts w:hint="eastAsia" w:ascii="宋体" w:hAnsi="宋体" w:eastAsia="宋体" w:cs="宋体"/>
                <w:color w:val="auto"/>
                <w:kern w:val="0"/>
                <w:sz w:val="24"/>
                <w:szCs w:val="24"/>
                <w:lang w:bidi="lo-LA"/>
              </w:rPr>
              <w:t>12</w:t>
            </w:r>
          </w:p>
        </w:tc>
        <w:tc>
          <w:tcPr>
            <w:tcW w:w="7724" w:type="dxa"/>
            <w:tcBorders>
              <w:top w:val="single" w:color="auto" w:sz="4" w:space="0"/>
              <w:left w:val="nil"/>
              <w:bottom w:val="single" w:color="auto" w:sz="4" w:space="0"/>
              <w:right w:val="single" w:color="auto" w:sz="4" w:space="0"/>
            </w:tcBorders>
            <w:vAlign w:val="center"/>
          </w:tcPr>
          <w:p w14:paraId="09F56FF7">
            <w:pPr>
              <w:spacing w:line="360" w:lineRule="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color w:val="auto"/>
                <w:kern w:val="0"/>
                <w:sz w:val="24"/>
                <w:szCs w:val="24"/>
                <w:lang w:val="en-US" w:eastAsia="zh-CN" w:bidi="ar"/>
              </w:rPr>
              <w:t>设备需</w:t>
            </w:r>
            <w:r>
              <w:rPr>
                <w:rFonts w:hint="eastAsia" w:ascii="宋体" w:hAnsi="宋体" w:eastAsia="宋体" w:cs="宋体"/>
                <w:color w:val="auto"/>
                <w:kern w:val="0"/>
                <w:sz w:val="24"/>
                <w:szCs w:val="24"/>
                <w:lang w:bidi="ar"/>
              </w:rPr>
              <w:t>提供与楼宇自控系统的标准通讯接口，开放通信协议（MUDBUS-RTU/485），提供客户端软件及相应的通信接口</w:t>
            </w:r>
          </w:p>
        </w:tc>
      </w:tr>
      <w:tr w14:paraId="412F63E4">
        <w:tblPrEx>
          <w:tblCellMar>
            <w:top w:w="0" w:type="dxa"/>
            <w:left w:w="108" w:type="dxa"/>
            <w:bottom w:w="0" w:type="dxa"/>
            <w:right w:w="108" w:type="dxa"/>
          </w:tblCellMar>
        </w:tblPrEx>
        <w:trPr>
          <w:trHeight w:val="1076" w:hRule="atLeast"/>
        </w:trPr>
        <w:tc>
          <w:tcPr>
            <w:tcW w:w="1440" w:type="dxa"/>
            <w:tcBorders>
              <w:top w:val="single" w:color="auto" w:sz="4" w:space="0"/>
              <w:left w:val="single" w:color="auto" w:sz="4" w:space="0"/>
              <w:bottom w:val="single" w:color="auto" w:sz="4" w:space="0"/>
              <w:right w:val="single" w:color="auto" w:sz="4" w:space="0"/>
            </w:tcBorders>
            <w:vAlign w:val="center"/>
          </w:tcPr>
          <w:p w14:paraId="675410A3">
            <w:pPr>
              <w:widowControl/>
              <w:ind w:left="420" w:hanging="420"/>
              <w:jc w:val="center"/>
              <w:rPr>
                <w:rFonts w:hint="eastAsia" w:ascii="宋体" w:hAnsi="宋体" w:eastAsia="宋体" w:cs="宋体"/>
                <w:color w:val="auto"/>
                <w:sz w:val="24"/>
                <w:szCs w:val="24"/>
                <w:lang w:bidi="lo-LA"/>
              </w:rPr>
            </w:pPr>
          </w:p>
        </w:tc>
        <w:tc>
          <w:tcPr>
            <w:tcW w:w="852" w:type="dxa"/>
            <w:tcBorders>
              <w:top w:val="single" w:color="auto" w:sz="4" w:space="0"/>
              <w:left w:val="nil"/>
              <w:bottom w:val="single" w:color="auto" w:sz="4" w:space="0"/>
              <w:right w:val="single" w:color="auto" w:sz="4" w:space="0"/>
            </w:tcBorders>
            <w:vAlign w:val="center"/>
          </w:tcPr>
          <w:p w14:paraId="116BD70C">
            <w:pPr>
              <w:pStyle w:val="19"/>
              <w:widowControl/>
              <w:ind w:firstLine="0" w:firstLineChars="0"/>
              <w:jc w:val="center"/>
              <w:rPr>
                <w:rFonts w:hint="default" w:ascii="宋体" w:hAnsi="宋体" w:eastAsia="宋体" w:cs="宋体"/>
                <w:color w:val="auto"/>
                <w:kern w:val="0"/>
                <w:sz w:val="24"/>
                <w:szCs w:val="24"/>
                <w:lang w:val="en-US" w:eastAsia="zh-CN" w:bidi="lo-LA"/>
              </w:rPr>
            </w:pPr>
            <w:r>
              <w:rPr>
                <w:rFonts w:hint="eastAsia" w:ascii="宋体" w:hAnsi="宋体" w:cs="宋体"/>
                <w:color w:val="auto"/>
                <w:kern w:val="0"/>
                <w:sz w:val="24"/>
                <w:szCs w:val="24"/>
                <w:lang w:val="en-US" w:eastAsia="zh-CN" w:bidi="lo-LA"/>
              </w:rPr>
              <w:t>13</w:t>
            </w:r>
          </w:p>
        </w:tc>
        <w:tc>
          <w:tcPr>
            <w:tcW w:w="7724" w:type="dxa"/>
            <w:tcBorders>
              <w:top w:val="single" w:color="auto" w:sz="4" w:space="0"/>
              <w:left w:val="nil"/>
              <w:bottom w:val="single" w:color="auto" w:sz="4" w:space="0"/>
              <w:right w:val="single" w:color="auto" w:sz="4" w:space="0"/>
            </w:tcBorders>
            <w:vAlign w:val="center"/>
          </w:tcPr>
          <w:p w14:paraId="2A87B417">
            <w:pPr>
              <w:spacing w:line="360" w:lineRule="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烟囱材质：SUS304双层不锈钢烟囱</w:t>
            </w:r>
          </w:p>
          <w:p w14:paraId="7D9FF6B9">
            <w:pPr>
              <w:spacing w:line="360" w:lineRule="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烟囱直径：DN250</w:t>
            </w:r>
          </w:p>
          <w:p w14:paraId="527386C3">
            <w:pPr>
              <w:spacing w:line="360" w:lineRule="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竖直高度：与现有烟囱高度一致</w:t>
            </w:r>
          </w:p>
          <w:p w14:paraId="61B0753F">
            <w:pPr>
              <w:spacing w:line="360" w:lineRule="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烟囱外壁厚度：0.8mm</w:t>
            </w:r>
          </w:p>
          <w:p w14:paraId="2D097DD9">
            <w:pPr>
              <w:spacing w:line="360" w:lineRule="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烟囱内壁厚度：1.2mm</w:t>
            </w:r>
          </w:p>
          <w:p w14:paraId="598EBACA">
            <w:pPr>
              <w:spacing w:line="360" w:lineRule="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保温材质：硅酸铝棉</w:t>
            </w:r>
          </w:p>
          <w:p w14:paraId="174D97FD">
            <w:pPr>
              <w:spacing w:line="360" w:lineRule="auto"/>
              <w:rPr>
                <w:rFonts w:hint="eastAsia"/>
                <w:color w:val="auto"/>
                <w:lang w:val="en-US" w:eastAsia="zh-CN"/>
              </w:rPr>
            </w:pPr>
            <w:r>
              <w:rPr>
                <w:rFonts w:hint="eastAsia" w:ascii="宋体" w:hAnsi="宋体" w:eastAsia="宋体" w:cs="宋体"/>
                <w:color w:val="auto"/>
                <w:kern w:val="0"/>
                <w:sz w:val="24"/>
                <w:szCs w:val="24"/>
                <w:lang w:val="en-US" w:eastAsia="zh-CN" w:bidi="ar"/>
              </w:rPr>
              <w:t>保温层厚度：50mm</w:t>
            </w:r>
          </w:p>
        </w:tc>
      </w:tr>
      <w:tr w14:paraId="5F6045EC">
        <w:tblPrEx>
          <w:tblCellMar>
            <w:top w:w="0" w:type="dxa"/>
            <w:left w:w="108" w:type="dxa"/>
            <w:bottom w:w="0" w:type="dxa"/>
            <w:right w:w="108" w:type="dxa"/>
          </w:tblCellMar>
        </w:tblPrEx>
        <w:trPr>
          <w:trHeight w:val="1080" w:hRule="atLeast"/>
        </w:trPr>
        <w:tc>
          <w:tcPr>
            <w:tcW w:w="1440" w:type="dxa"/>
            <w:tcBorders>
              <w:top w:val="single" w:color="auto" w:sz="4" w:space="0"/>
              <w:left w:val="single" w:color="auto" w:sz="4" w:space="0"/>
              <w:bottom w:val="single" w:color="auto" w:sz="4" w:space="0"/>
              <w:right w:val="single" w:color="auto" w:sz="4" w:space="0"/>
            </w:tcBorders>
            <w:vAlign w:val="center"/>
          </w:tcPr>
          <w:p w14:paraId="3FABC5E9">
            <w:pPr>
              <w:widowControl/>
              <w:ind w:left="420" w:hanging="420"/>
              <w:jc w:val="center"/>
              <w:rPr>
                <w:rFonts w:hint="eastAsia" w:ascii="宋体" w:hAnsi="宋体" w:eastAsia="宋体" w:cs="宋体"/>
                <w:color w:val="auto"/>
                <w:sz w:val="24"/>
                <w:szCs w:val="24"/>
                <w:lang w:bidi="lo-LA"/>
              </w:rPr>
            </w:pPr>
          </w:p>
        </w:tc>
        <w:tc>
          <w:tcPr>
            <w:tcW w:w="852" w:type="dxa"/>
            <w:tcBorders>
              <w:top w:val="single" w:color="auto" w:sz="4" w:space="0"/>
              <w:left w:val="nil"/>
              <w:bottom w:val="single" w:color="auto" w:sz="4" w:space="0"/>
              <w:right w:val="single" w:color="auto" w:sz="4" w:space="0"/>
            </w:tcBorders>
            <w:vAlign w:val="center"/>
          </w:tcPr>
          <w:p w14:paraId="169784BA">
            <w:pPr>
              <w:pStyle w:val="19"/>
              <w:widowControl/>
              <w:ind w:firstLine="0" w:firstLineChars="0"/>
              <w:jc w:val="center"/>
              <w:rPr>
                <w:rFonts w:hint="eastAsia" w:ascii="宋体" w:hAnsi="宋体" w:eastAsia="宋体" w:cs="宋体"/>
                <w:color w:val="auto"/>
                <w:kern w:val="0"/>
                <w:sz w:val="24"/>
                <w:szCs w:val="24"/>
                <w:lang w:val="en-US" w:eastAsia="zh-CN" w:bidi="lo-LA"/>
              </w:rPr>
            </w:pPr>
            <w:r>
              <w:rPr>
                <w:rFonts w:hint="eastAsia" w:ascii="宋体" w:hAnsi="宋体" w:eastAsia="宋体" w:cs="宋体"/>
                <w:color w:val="auto"/>
                <w:kern w:val="0"/>
                <w:sz w:val="24"/>
                <w:szCs w:val="24"/>
                <w:lang w:bidi="lo-LA"/>
              </w:rPr>
              <w:t>1</w:t>
            </w:r>
            <w:r>
              <w:rPr>
                <w:rFonts w:hint="eastAsia" w:ascii="宋体" w:hAnsi="宋体" w:cs="宋体"/>
                <w:color w:val="auto"/>
                <w:kern w:val="0"/>
                <w:sz w:val="24"/>
                <w:szCs w:val="24"/>
                <w:lang w:val="en-US" w:eastAsia="zh-CN" w:bidi="lo-LA"/>
              </w:rPr>
              <w:t>4</w:t>
            </w:r>
          </w:p>
        </w:tc>
        <w:tc>
          <w:tcPr>
            <w:tcW w:w="7724" w:type="dxa"/>
            <w:tcBorders>
              <w:top w:val="single" w:color="auto" w:sz="4" w:space="0"/>
              <w:left w:val="nil"/>
              <w:bottom w:val="single" w:color="auto" w:sz="4" w:space="0"/>
              <w:right w:val="single" w:color="auto" w:sz="4" w:space="0"/>
            </w:tcBorders>
            <w:vAlign w:val="center"/>
          </w:tcPr>
          <w:p w14:paraId="361AEC27">
            <w:pPr>
              <w:spacing w:line="360" w:lineRule="auto"/>
              <w:rPr>
                <w:rFonts w:hint="default"/>
                <w:color w:val="auto"/>
                <w:lang w:val="en-US" w:eastAsia="zh-CN"/>
              </w:rPr>
            </w:pPr>
            <w:r>
              <w:rPr>
                <w:rFonts w:hint="eastAsia" w:ascii="宋体" w:hAnsi="宋体" w:eastAsia="宋体" w:cs="宋体"/>
                <w:b w:val="0"/>
                <w:bCs w:val="0"/>
                <w:i w:val="0"/>
                <w:iCs w:val="0"/>
                <w:color w:val="auto"/>
                <w:kern w:val="0"/>
                <w:sz w:val="24"/>
                <w:szCs w:val="24"/>
                <w:highlight w:val="none"/>
                <w:u w:val="none"/>
                <w:lang w:val="en-US" w:eastAsia="zh-CN" w:bidi="ar"/>
              </w:rPr>
              <w:t>含设备运输、安装及配套蒸汽管道安装改造、电线电缆接驳、设备基础制作、设备调试、操作培训等</w:t>
            </w:r>
          </w:p>
        </w:tc>
      </w:tr>
      <w:tr w14:paraId="2A7DB308">
        <w:tblPrEx>
          <w:tblCellMar>
            <w:top w:w="0" w:type="dxa"/>
            <w:left w:w="108" w:type="dxa"/>
            <w:bottom w:w="0" w:type="dxa"/>
            <w:right w:w="108" w:type="dxa"/>
          </w:tblCellMar>
        </w:tblPrEx>
        <w:trPr>
          <w:trHeight w:val="1080" w:hRule="atLeast"/>
        </w:trPr>
        <w:tc>
          <w:tcPr>
            <w:tcW w:w="1440" w:type="dxa"/>
            <w:tcBorders>
              <w:top w:val="single" w:color="auto" w:sz="4" w:space="0"/>
              <w:left w:val="single" w:color="auto" w:sz="4" w:space="0"/>
              <w:bottom w:val="single" w:color="auto" w:sz="4" w:space="0"/>
              <w:right w:val="single" w:color="auto" w:sz="4" w:space="0"/>
            </w:tcBorders>
            <w:vAlign w:val="center"/>
          </w:tcPr>
          <w:p w14:paraId="52C8214A">
            <w:pPr>
              <w:widowControl/>
              <w:ind w:left="420" w:hanging="420"/>
              <w:jc w:val="center"/>
              <w:rPr>
                <w:rFonts w:hint="eastAsia" w:ascii="宋体" w:hAnsi="宋体" w:eastAsia="宋体" w:cs="宋体"/>
                <w:color w:val="auto"/>
                <w:sz w:val="24"/>
                <w:szCs w:val="24"/>
                <w:lang w:bidi="lo-LA"/>
              </w:rPr>
            </w:pPr>
          </w:p>
        </w:tc>
        <w:tc>
          <w:tcPr>
            <w:tcW w:w="852" w:type="dxa"/>
            <w:tcBorders>
              <w:top w:val="single" w:color="auto" w:sz="4" w:space="0"/>
              <w:left w:val="nil"/>
              <w:bottom w:val="single" w:color="auto" w:sz="4" w:space="0"/>
              <w:right w:val="single" w:color="auto" w:sz="4" w:space="0"/>
            </w:tcBorders>
            <w:vAlign w:val="center"/>
          </w:tcPr>
          <w:p w14:paraId="198B2A90">
            <w:pPr>
              <w:pStyle w:val="19"/>
              <w:widowControl/>
              <w:ind w:firstLine="0" w:firstLineChars="0"/>
              <w:jc w:val="center"/>
              <w:rPr>
                <w:rFonts w:hint="default" w:ascii="宋体" w:hAnsi="宋体" w:eastAsia="宋体" w:cs="宋体"/>
                <w:color w:val="auto"/>
                <w:kern w:val="0"/>
                <w:sz w:val="24"/>
                <w:szCs w:val="24"/>
                <w:lang w:val="en-US" w:eastAsia="zh-CN" w:bidi="lo-LA"/>
              </w:rPr>
            </w:pPr>
            <w:r>
              <w:rPr>
                <w:rFonts w:hint="eastAsia" w:ascii="宋体" w:hAnsi="宋体" w:cs="宋体"/>
                <w:color w:val="auto"/>
                <w:kern w:val="0"/>
                <w:sz w:val="24"/>
                <w:szCs w:val="24"/>
                <w:lang w:val="en-US" w:eastAsia="zh-CN" w:bidi="lo-LA"/>
              </w:rPr>
              <w:t>15</w:t>
            </w:r>
          </w:p>
        </w:tc>
        <w:tc>
          <w:tcPr>
            <w:tcW w:w="7724" w:type="dxa"/>
            <w:tcBorders>
              <w:top w:val="single" w:color="auto" w:sz="4" w:space="0"/>
              <w:left w:val="nil"/>
              <w:bottom w:val="single" w:color="auto" w:sz="4" w:space="0"/>
              <w:right w:val="single" w:color="auto" w:sz="4" w:space="0"/>
            </w:tcBorders>
            <w:vAlign w:val="center"/>
          </w:tcPr>
          <w:p w14:paraId="78C8311E">
            <w:pPr>
              <w:spacing w:line="360" w:lineRule="auto"/>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本项目为货物采购，包含设备生产、供货、包装、保险、运输、调试及验收合格之前及保修期内备品备件发生的含税费用。</w:t>
            </w:r>
          </w:p>
        </w:tc>
      </w:tr>
      <w:tr w14:paraId="193E0E00">
        <w:tblPrEx>
          <w:tblCellMar>
            <w:top w:w="0" w:type="dxa"/>
            <w:left w:w="108" w:type="dxa"/>
            <w:bottom w:w="0" w:type="dxa"/>
            <w:right w:w="108" w:type="dxa"/>
          </w:tblCellMar>
        </w:tblPrEx>
        <w:trPr>
          <w:trHeight w:val="675" w:hRule="atLeast"/>
        </w:trPr>
        <w:tc>
          <w:tcPr>
            <w:tcW w:w="10016" w:type="dxa"/>
            <w:gridSpan w:val="3"/>
            <w:tcBorders>
              <w:top w:val="single" w:color="auto" w:sz="4" w:space="0"/>
              <w:left w:val="single" w:color="auto" w:sz="4" w:space="0"/>
              <w:bottom w:val="single" w:color="auto" w:sz="4" w:space="0"/>
              <w:right w:val="single" w:color="auto" w:sz="4" w:space="0"/>
            </w:tcBorders>
            <w:vAlign w:val="center"/>
          </w:tcPr>
          <w:p w14:paraId="15E1BFF8">
            <w:pPr>
              <w:spacing w:line="360" w:lineRule="auto"/>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sz w:val="28"/>
                <w:szCs w:val="28"/>
                <w:highlight w:val="none"/>
                <w:lang w:val="en-US" w:eastAsia="zh-CN"/>
              </w:rPr>
              <w:t>注：所有技术参数标“★”项为主要技术参数，任意1条不满足则导致响应无效</w:t>
            </w:r>
          </w:p>
        </w:tc>
      </w:tr>
    </w:tbl>
    <w:p w14:paraId="2972BDAA">
      <w:pPr>
        <w:spacing w:line="360" w:lineRule="auto"/>
        <w:jc w:val="left"/>
        <w:rPr>
          <w:rFonts w:hint="eastAsia" w:ascii="宋体" w:hAnsi="宋体" w:eastAsia="宋体" w:cs="宋体"/>
          <w:color w:val="FF0000"/>
          <w:sz w:val="32"/>
          <w:szCs w:val="32"/>
          <w:u w:val="single"/>
        </w:rPr>
      </w:pPr>
    </w:p>
    <w:tbl>
      <w:tblPr>
        <w:tblStyle w:val="15"/>
        <w:tblW w:w="9839" w:type="dxa"/>
        <w:jc w:val="center"/>
        <w:tblLayout w:type="fixed"/>
        <w:tblCellMar>
          <w:top w:w="0" w:type="dxa"/>
          <w:left w:w="108" w:type="dxa"/>
          <w:bottom w:w="0" w:type="dxa"/>
          <w:right w:w="108" w:type="dxa"/>
        </w:tblCellMar>
      </w:tblPr>
      <w:tblGrid>
        <w:gridCol w:w="1566"/>
        <w:gridCol w:w="842"/>
        <w:gridCol w:w="7431"/>
      </w:tblGrid>
      <w:tr w14:paraId="7575904A">
        <w:tblPrEx>
          <w:tblCellMar>
            <w:top w:w="0" w:type="dxa"/>
            <w:left w:w="108" w:type="dxa"/>
            <w:bottom w:w="0" w:type="dxa"/>
            <w:right w:w="108" w:type="dxa"/>
          </w:tblCellMar>
        </w:tblPrEx>
        <w:trPr>
          <w:trHeight w:val="631" w:hRule="atLeast"/>
          <w:jc w:val="center"/>
        </w:trPr>
        <w:tc>
          <w:tcPr>
            <w:tcW w:w="1566" w:type="dxa"/>
            <w:tcBorders>
              <w:top w:val="single" w:color="auto" w:sz="4" w:space="0"/>
              <w:left w:val="single" w:color="auto" w:sz="4" w:space="0"/>
              <w:bottom w:val="single" w:color="auto" w:sz="4" w:space="0"/>
              <w:right w:val="single" w:color="auto" w:sz="4" w:space="0"/>
            </w:tcBorders>
            <w:vAlign w:val="center"/>
          </w:tcPr>
          <w:p w14:paraId="7AC4DCE3">
            <w:pPr>
              <w:widowControl/>
              <w:jc w:val="center"/>
              <w:rPr>
                <w:rFonts w:hint="eastAsia" w:ascii="宋体" w:hAnsi="宋体" w:eastAsia="宋体" w:cs="宋体"/>
                <w:color w:val="auto"/>
                <w:sz w:val="24"/>
                <w:szCs w:val="24"/>
              </w:rPr>
            </w:pPr>
            <w:r>
              <w:rPr>
                <w:rFonts w:hint="eastAsia" w:ascii="宋体" w:hAnsi="宋体" w:eastAsia="宋体" w:cs="宋体"/>
                <w:color w:val="auto"/>
                <w:sz w:val="24"/>
                <w:szCs w:val="24"/>
              </w:rPr>
              <w:t>参数性质</w:t>
            </w:r>
          </w:p>
        </w:tc>
        <w:tc>
          <w:tcPr>
            <w:tcW w:w="842" w:type="dxa"/>
            <w:tcBorders>
              <w:top w:val="single" w:color="auto" w:sz="4" w:space="0"/>
              <w:left w:val="nil"/>
              <w:bottom w:val="single" w:color="auto" w:sz="4" w:space="0"/>
              <w:right w:val="single" w:color="auto" w:sz="4" w:space="0"/>
            </w:tcBorders>
            <w:vAlign w:val="center"/>
          </w:tcPr>
          <w:p w14:paraId="58207346">
            <w:pPr>
              <w:widowControl/>
              <w:jc w:val="center"/>
              <w:rPr>
                <w:rFonts w:hint="eastAsia" w:ascii="宋体" w:hAnsi="宋体" w:eastAsia="宋体" w:cs="宋体"/>
                <w:color w:val="auto"/>
                <w:sz w:val="24"/>
                <w:szCs w:val="24"/>
              </w:rPr>
            </w:pPr>
            <w:r>
              <w:rPr>
                <w:rFonts w:hint="eastAsia" w:ascii="宋体" w:hAnsi="宋体" w:eastAsia="宋体" w:cs="宋体"/>
                <w:color w:val="auto"/>
                <w:sz w:val="24"/>
                <w:szCs w:val="24"/>
              </w:rPr>
              <w:t>编号</w:t>
            </w:r>
          </w:p>
        </w:tc>
        <w:tc>
          <w:tcPr>
            <w:tcW w:w="7431" w:type="dxa"/>
            <w:tcBorders>
              <w:top w:val="single" w:color="auto" w:sz="4" w:space="0"/>
              <w:left w:val="nil"/>
              <w:bottom w:val="single" w:color="auto" w:sz="4" w:space="0"/>
              <w:right w:val="single" w:color="auto" w:sz="4" w:space="0"/>
            </w:tcBorders>
            <w:vAlign w:val="center"/>
          </w:tcPr>
          <w:p w14:paraId="248353D0">
            <w:pPr>
              <w:widowControl/>
              <w:jc w:val="center"/>
              <w:rPr>
                <w:rFonts w:hint="eastAsia" w:ascii="宋体" w:hAnsi="宋体" w:eastAsia="宋体" w:cs="宋体"/>
                <w:color w:val="auto"/>
                <w:sz w:val="24"/>
                <w:szCs w:val="24"/>
              </w:rPr>
            </w:pPr>
            <w:r>
              <w:rPr>
                <w:rFonts w:hint="eastAsia" w:ascii="宋体" w:hAnsi="宋体" w:eastAsia="宋体" w:cs="宋体"/>
                <w:color w:val="auto"/>
                <w:sz w:val="24"/>
                <w:szCs w:val="24"/>
              </w:rPr>
              <w:t>技术参数和性能指标</w:t>
            </w:r>
          </w:p>
        </w:tc>
      </w:tr>
      <w:tr w14:paraId="641A573C">
        <w:tblPrEx>
          <w:tblCellMar>
            <w:top w:w="0" w:type="dxa"/>
            <w:left w:w="108" w:type="dxa"/>
            <w:bottom w:w="0" w:type="dxa"/>
            <w:right w:w="108" w:type="dxa"/>
          </w:tblCellMar>
        </w:tblPrEx>
        <w:trPr>
          <w:trHeight w:val="575" w:hRule="atLeast"/>
          <w:jc w:val="center"/>
        </w:trPr>
        <w:tc>
          <w:tcPr>
            <w:tcW w:w="9839" w:type="dxa"/>
            <w:gridSpan w:val="3"/>
            <w:tcBorders>
              <w:top w:val="single" w:color="auto" w:sz="4" w:space="0"/>
              <w:left w:val="single" w:color="auto" w:sz="4" w:space="0"/>
              <w:bottom w:val="single" w:color="auto" w:sz="4" w:space="0"/>
              <w:right w:val="single" w:color="auto" w:sz="4" w:space="0"/>
            </w:tcBorders>
            <w:vAlign w:val="center"/>
          </w:tcPr>
          <w:p w14:paraId="6E133147">
            <w:pPr>
              <w:widowControl/>
              <w:jc w:val="center"/>
              <w:rPr>
                <w:rFonts w:hint="eastAsia" w:ascii="宋体" w:hAnsi="宋体" w:eastAsia="宋体" w:cs="宋体"/>
                <w:color w:val="auto"/>
                <w:sz w:val="24"/>
                <w:szCs w:val="24"/>
                <w:lang w:val="en-US"/>
              </w:rPr>
            </w:pPr>
            <w:r>
              <w:rPr>
                <w:rFonts w:hint="eastAsia" w:ascii="宋体" w:hAnsi="宋体" w:eastAsia="宋体" w:cs="宋体"/>
                <w:color w:val="auto"/>
                <w:sz w:val="24"/>
                <w:szCs w:val="24"/>
                <w:lang w:val="en-US" w:eastAsia="zh-CN"/>
              </w:rPr>
              <w:t>纯水设备</w:t>
            </w:r>
          </w:p>
        </w:tc>
      </w:tr>
      <w:tr w14:paraId="61AE6A8F">
        <w:tblPrEx>
          <w:tblCellMar>
            <w:top w:w="0" w:type="dxa"/>
            <w:left w:w="108" w:type="dxa"/>
            <w:bottom w:w="0" w:type="dxa"/>
            <w:right w:w="108" w:type="dxa"/>
          </w:tblCellMar>
        </w:tblPrEx>
        <w:trPr>
          <w:trHeight w:val="618" w:hRule="atLeast"/>
          <w:jc w:val="center"/>
        </w:trPr>
        <w:tc>
          <w:tcPr>
            <w:tcW w:w="1566" w:type="dxa"/>
            <w:tcBorders>
              <w:top w:val="single" w:color="auto" w:sz="4" w:space="0"/>
              <w:left w:val="single" w:color="auto" w:sz="4" w:space="0"/>
              <w:bottom w:val="single" w:color="auto" w:sz="4" w:space="0"/>
              <w:right w:val="single" w:color="auto" w:sz="4" w:space="0"/>
            </w:tcBorders>
            <w:vAlign w:val="center"/>
          </w:tcPr>
          <w:p w14:paraId="00EC6CA8">
            <w:pPr>
              <w:widowControl/>
              <w:ind w:left="420" w:hanging="420"/>
              <w:jc w:val="center"/>
              <w:rPr>
                <w:rFonts w:hint="eastAsia" w:ascii="宋体" w:hAnsi="宋体" w:eastAsia="宋体" w:cs="宋体"/>
                <w:color w:val="auto"/>
                <w:sz w:val="24"/>
                <w:szCs w:val="24"/>
                <w:lang w:bidi="lo-LA"/>
              </w:rPr>
            </w:pPr>
            <w:r>
              <w:rPr>
                <w:rFonts w:hint="eastAsia" w:ascii="宋体" w:hAnsi="宋体" w:eastAsia="宋体" w:cs="宋体"/>
                <w:color w:val="auto"/>
                <w:sz w:val="24"/>
                <w:szCs w:val="24"/>
                <w:lang w:bidi="lo-LA"/>
              </w:rPr>
              <w:t>★</w:t>
            </w:r>
          </w:p>
        </w:tc>
        <w:tc>
          <w:tcPr>
            <w:tcW w:w="842" w:type="dxa"/>
            <w:tcBorders>
              <w:top w:val="single" w:color="auto" w:sz="4" w:space="0"/>
              <w:left w:val="nil"/>
              <w:bottom w:val="single" w:color="auto" w:sz="4" w:space="0"/>
              <w:right w:val="single" w:color="auto" w:sz="4" w:space="0"/>
            </w:tcBorders>
            <w:vAlign w:val="center"/>
          </w:tcPr>
          <w:p w14:paraId="7584B101">
            <w:pPr>
              <w:pStyle w:val="19"/>
              <w:widowControl/>
              <w:ind w:firstLine="0" w:firstLineChars="0"/>
              <w:jc w:val="center"/>
              <w:rPr>
                <w:rFonts w:hint="eastAsia" w:ascii="宋体" w:hAnsi="宋体" w:eastAsia="宋体" w:cs="宋体"/>
                <w:color w:val="auto"/>
                <w:kern w:val="0"/>
                <w:sz w:val="24"/>
                <w:szCs w:val="24"/>
                <w:lang w:val="en-US" w:eastAsia="zh-CN" w:bidi="lo-LA"/>
              </w:rPr>
            </w:pPr>
            <w:r>
              <w:rPr>
                <w:rFonts w:hint="eastAsia" w:ascii="宋体" w:hAnsi="宋体" w:eastAsia="宋体" w:cs="宋体"/>
                <w:color w:val="auto"/>
                <w:kern w:val="0"/>
                <w:sz w:val="24"/>
                <w:szCs w:val="24"/>
                <w:lang w:val="en-US" w:eastAsia="zh-CN" w:bidi="lo-LA"/>
              </w:rPr>
              <w:t>1</w:t>
            </w:r>
          </w:p>
        </w:tc>
        <w:tc>
          <w:tcPr>
            <w:tcW w:w="7431" w:type="dxa"/>
            <w:tcBorders>
              <w:top w:val="single" w:color="auto" w:sz="4" w:space="0"/>
              <w:left w:val="nil"/>
              <w:bottom w:val="single" w:color="auto" w:sz="4" w:space="0"/>
              <w:right w:val="single" w:color="auto" w:sz="4" w:space="0"/>
            </w:tcBorders>
            <w:vAlign w:val="center"/>
          </w:tcPr>
          <w:p w14:paraId="2E7C1241">
            <w:pPr>
              <w:spacing w:line="360" w:lineRule="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水处理能力：≥3.0t/h</w:t>
            </w:r>
          </w:p>
        </w:tc>
      </w:tr>
      <w:tr w14:paraId="1BEE76E2">
        <w:tblPrEx>
          <w:tblCellMar>
            <w:top w:w="0" w:type="dxa"/>
            <w:left w:w="108" w:type="dxa"/>
            <w:bottom w:w="0" w:type="dxa"/>
            <w:right w:w="108" w:type="dxa"/>
          </w:tblCellMar>
        </w:tblPrEx>
        <w:trPr>
          <w:trHeight w:val="576" w:hRule="atLeast"/>
          <w:jc w:val="center"/>
        </w:trPr>
        <w:tc>
          <w:tcPr>
            <w:tcW w:w="1566" w:type="dxa"/>
            <w:tcBorders>
              <w:top w:val="single" w:color="auto" w:sz="4" w:space="0"/>
              <w:left w:val="single" w:color="auto" w:sz="4" w:space="0"/>
              <w:bottom w:val="single" w:color="auto" w:sz="4" w:space="0"/>
              <w:right w:val="single" w:color="auto" w:sz="4" w:space="0"/>
            </w:tcBorders>
            <w:vAlign w:val="center"/>
          </w:tcPr>
          <w:p w14:paraId="553AF619">
            <w:pPr>
              <w:widowControl/>
              <w:ind w:left="420" w:hanging="420"/>
              <w:jc w:val="center"/>
              <w:rPr>
                <w:rFonts w:hint="eastAsia" w:ascii="宋体" w:hAnsi="宋体" w:eastAsia="宋体" w:cs="宋体"/>
                <w:color w:val="auto"/>
                <w:sz w:val="24"/>
                <w:szCs w:val="24"/>
                <w:lang w:bidi="lo-LA"/>
              </w:rPr>
            </w:pPr>
            <w:r>
              <w:rPr>
                <w:rFonts w:hint="eastAsia" w:ascii="宋体" w:hAnsi="宋体" w:eastAsia="宋体" w:cs="宋体"/>
                <w:color w:val="auto"/>
                <w:sz w:val="24"/>
                <w:szCs w:val="24"/>
                <w:lang w:bidi="lo-LA"/>
              </w:rPr>
              <w:t>★</w:t>
            </w:r>
          </w:p>
        </w:tc>
        <w:tc>
          <w:tcPr>
            <w:tcW w:w="842" w:type="dxa"/>
            <w:tcBorders>
              <w:top w:val="single" w:color="auto" w:sz="4" w:space="0"/>
              <w:left w:val="nil"/>
              <w:bottom w:val="single" w:color="auto" w:sz="4" w:space="0"/>
              <w:right w:val="single" w:color="auto" w:sz="4" w:space="0"/>
            </w:tcBorders>
            <w:vAlign w:val="center"/>
          </w:tcPr>
          <w:p w14:paraId="6781DAB7">
            <w:pPr>
              <w:pStyle w:val="19"/>
              <w:widowControl/>
              <w:ind w:firstLine="0" w:firstLineChars="0"/>
              <w:jc w:val="center"/>
              <w:rPr>
                <w:rFonts w:hint="eastAsia" w:ascii="宋体" w:hAnsi="宋体" w:eastAsia="宋体" w:cs="宋体"/>
                <w:color w:val="auto"/>
                <w:kern w:val="0"/>
                <w:sz w:val="24"/>
                <w:szCs w:val="24"/>
                <w:lang w:val="en-US" w:eastAsia="zh-CN" w:bidi="lo-LA"/>
              </w:rPr>
            </w:pPr>
            <w:r>
              <w:rPr>
                <w:rFonts w:hint="eastAsia" w:ascii="宋体" w:hAnsi="宋体" w:eastAsia="宋体" w:cs="宋体"/>
                <w:color w:val="auto"/>
                <w:kern w:val="0"/>
                <w:sz w:val="24"/>
                <w:szCs w:val="24"/>
                <w:lang w:val="en-US" w:eastAsia="zh-CN" w:bidi="lo-LA"/>
              </w:rPr>
              <w:t>2</w:t>
            </w:r>
          </w:p>
        </w:tc>
        <w:tc>
          <w:tcPr>
            <w:tcW w:w="7431" w:type="dxa"/>
            <w:tcBorders>
              <w:top w:val="single" w:color="auto" w:sz="4" w:space="0"/>
              <w:left w:val="nil"/>
              <w:bottom w:val="single" w:color="auto" w:sz="4" w:space="0"/>
              <w:right w:val="single" w:color="auto" w:sz="4" w:space="0"/>
            </w:tcBorders>
            <w:vAlign w:val="center"/>
          </w:tcPr>
          <w:p w14:paraId="5856E10D">
            <w:pPr>
              <w:spacing w:line="360" w:lineRule="auto"/>
              <w:rPr>
                <w:rFonts w:hint="default"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电导率≤50μm/cm</w:t>
            </w:r>
          </w:p>
        </w:tc>
      </w:tr>
      <w:tr w14:paraId="75F38F27">
        <w:tblPrEx>
          <w:tblCellMar>
            <w:top w:w="0" w:type="dxa"/>
            <w:left w:w="108" w:type="dxa"/>
            <w:bottom w:w="0" w:type="dxa"/>
            <w:right w:w="108" w:type="dxa"/>
          </w:tblCellMar>
        </w:tblPrEx>
        <w:trPr>
          <w:trHeight w:val="576" w:hRule="atLeast"/>
          <w:jc w:val="center"/>
        </w:trPr>
        <w:tc>
          <w:tcPr>
            <w:tcW w:w="1566" w:type="dxa"/>
            <w:tcBorders>
              <w:top w:val="single" w:color="auto" w:sz="4" w:space="0"/>
              <w:left w:val="single" w:color="auto" w:sz="4" w:space="0"/>
              <w:bottom w:val="single" w:color="auto" w:sz="4" w:space="0"/>
              <w:right w:val="single" w:color="auto" w:sz="4" w:space="0"/>
            </w:tcBorders>
            <w:vAlign w:val="center"/>
          </w:tcPr>
          <w:p w14:paraId="14E7610D">
            <w:pPr>
              <w:widowControl/>
              <w:ind w:left="420" w:hanging="420"/>
              <w:jc w:val="center"/>
              <w:rPr>
                <w:rFonts w:hint="eastAsia" w:ascii="宋体" w:hAnsi="宋体" w:eastAsia="宋体" w:cs="宋体"/>
                <w:color w:val="auto"/>
                <w:sz w:val="24"/>
                <w:szCs w:val="24"/>
                <w:lang w:bidi="lo-LA"/>
              </w:rPr>
            </w:pPr>
            <w:r>
              <w:rPr>
                <w:rFonts w:hint="eastAsia" w:ascii="宋体" w:hAnsi="宋体" w:eastAsia="宋体" w:cs="宋体"/>
                <w:color w:val="auto"/>
                <w:sz w:val="24"/>
                <w:szCs w:val="24"/>
                <w:lang w:bidi="lo-LA"/>
              </w:rPr>
              <w:t>★</w:t>
            </w:r>
          </w:p>
        </w:tc>
        <w:tc>
          <w:tcPr>
            <w:tcW w:w="842" w:type="dxa"/>
            <w:tcBorders>
              <w:top w:val="single" w:color="auto" w:sz="4" w:space="0"/>
              <w:left w:val="nil"/>
              <w:bottom w:val="single" w:color="auto" w:sz="4" w:space="0"/>
              <w:right w:val="single" w:color="auto" w:sz="4" w:space="0"/>
            </w:tcBorders>
            <w:vAlign w:val="center"/>
          </w:tcPr>
          <w:p w14:paraId="0574417F">
            <w:pPr>
              <w:pStyle w:val="19"/>
              <w:widowControl/>
              <w:ind w:firstLine="0" w:firstLineChars="0"/>
              <w:jc w:val="center"/>
              <w:rPr>
                <w:rFonts w:hint="default" w:ascii="宋体" w:hAnsi="宋体" w:eastAsia="宋体" w:cs="宋体"/>
                <w:color w:val="auto"/>
                <w:kern w:val="0"/>
                <w:sz w:val="24"/>
                <w:szCs w:val="24"/>
                <w:lang w:val="en-US" w:eastAsia="zh-CN" w:bidi="lo-LA"/>
              </w:rPr>
            </w:pPr>
            <w:r>
              <w:rPr>
                <w:rFonts w:hint="eastAsia" w:ascii="宋体" w:hAnsi="宋体" w:cs="宋体"/>
                <w:color w:val="auto"/>
                <w:kern w:val="0"/>
                <w:sz w:val="24"/>
                <w:szCs w:val="24"/>
                <w:lang w:val="en-US" w:eastAsia="zh-CN" w:bidi="lo-LA"/>
              </w:rPr>
              <w:t>3</w:t>
            </w:r>
          </w:p>
        </w:tc>
        <w:tc>
          <w:tcPr>
            <w:tcW w:w="7431" w:type="dxa"/>
            <w:tcBorders>
              <w:top w:val="single" w:color="auto" w:sz="4" w:space="0"/>
              <w:left w:val="nil"/>
              <w:bottom w:val="single" w:color="auto" w:sz="4" w:space="0"/>
              <w:right w:val="single" w:color="auto" w:sz="4" w:space="0"/>
            </w:tcBorders>
            <w:vAlign w:val="center"/>
          </w:tcPr>
          <w:p w14:paraId="5CD3AEEA">
            <w:pPr>
              <w:spacing w:line="360" w:lineRule="auto"/>
              <w:rPr>
                <w:rFonts w:hint="default"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硬度≤0.03mmol/L</w:t>
            </w:r>
          </w:p>
        </w:tc>
      </w:tr>
      <w:tr w14:paraId="2CA62AB7">
        <w:tblPrEx>
          <w:tblCellMar>
            <w:top w:w="0" w:type="dxa"/>
            <w:left w:w="108" w:type="dxa"/>
            <w:bottom w:w="0" w:type="dxa"/>
            <w:right w:w="108" w:type="dxa"/>
          </w:tblCellMar>
        </w:tblPrEx>
        <w:trPr>
          <w:trHeight w:val="800" w:hRule="atLeast"/>
          <w:jc w:val="center"/>
        </w:trPr>
        <w:tc>
          <w:tcPr>
            <w:tcW w:w="1566" w:type="dxa"/>
            <w:tcBorders>
              <w:top w:val="single" w:color="auto" w:sz="4" w:space="0"/>
              <w:left w:val="single" w:color="auto" w:sz="4" w:space="0"/>
              <w:bottom w:val="single" w:color="auto" w:sz="4" w:space="0"/>
              <w:right w:val="single" w:color="auto" w:sz="4" w:space="0"/>
            </w:tcBorders>
            <w:vAlign w:val="center"/>
          </w:tcPr>
          <w:p w14:paraId="2EFFF4AC">
            <w:pPr>
              <w:widowControl/>
              <w:ind w:left="420" w:hanging="420"/>
              <w:jc w:val="center"/>
              <w:rPr>
                <w:rFonts w:hint="eastAsia" w:ascii="宋体" w:hAnsi="宋体" w:eastAsia="宋体" w:cs="宋体"/>
                <w:color w:val="auto"/>
                <w:sz w:val="24"/>
                <w:szCs w:val="24"/>
                <w:lang w:bidi="lo-LA"/>
              </w:rPr>
            </w:pPr>
          </w:p>
        </w:tc>
        <w:tc>
          <w:tcPr>
            <w:tcW w:w="842" w:type="dxa"/>
            <w:tcBorders>
              <w:top w:val="single" w:color="auto" w:sz="4" w:space="0"/>
              <w:left w:val="nil"/>
              <w:bottom w:val="single" w:color="auto" w:sz="4" w:space="0"/>
              <w:right w:val="single" w:color="auto" w:sz="4" w:space="0"/>
            </w:tcBorders>
            <w:vAlign w:val="center"/>
          </w:tcPr>
          <w:p w14:paraId="42499F69">
            <w:pPr>
              <w:pStyle w:val="19"/>
              <w:widowControl/>
              <w:ind w:firstLine="0" w:firstLineChars="0"/>
              <w:jc w:val="center"/>
              <w:rPr>
                <w:rFonts w:hint="eastAsia" w:ascii="宋体" w:hAnsi="宋体" w:eastAsia="宋体" w:cs="宋体"/>
                <w:color w:val="auto"/>
                <w:kern w:val="0"/>
                <w:sz w:val="24"/>
                <w:szCs w:val="24"/>
                <w:lang w:val="en-US" w:eastAsia="zh-CN" w:bidi="lo-LA"/>
              </w:rPr>
            </w:pPr>
            <w:r>
              <w:rPr>
                <w:rFonts w:hint="eastAsia" w:ascii="宋体" w:hAnsi="宋体" w:cs="宋体"/>
                <w:color w:val="auto"/>
                <w:kern w:val="0"/>
                <w:sz w:val="24"/>
                <w:szCs w:val="24"/>
                <w:lang w:val="en-US" w:eastAsia="zh-CN" w:bidi="lo-LA"/>
              </w:rPr>
              <w:t>4</w:t>
            </w:r>
          </w:p>
        </w:tc>
        <w:tc>
          <w:tcPr>
            <w:tcW w:w="7431" w:type="dxa"/>
            <w:tcBorders>
              <w:top w:val="single" w:color="auto" w:sz="4" w:space="0"/>
              <w:left w:val="nil"/>
              <w:bottom w:val="single" w:color="auto" w:sz="4" w:space="0"/>
              <w:right w:val="single" w:color="auto" w:sz="4" w:space="0"/>
            </w:tcBorders>
            <w:vAlign w:val="center"/>
          </w:tcPr>
          <w:p w14:paraId="7AFEAC44">
            <w:pPr>
              <w:spacing w:line="360" w:lineRule="auto"/>
              <w:rPr>
                <w:rFonts w:hint="default"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含原水箱、预处理、增压泵、RO单级反渗透设备等供货安装及</w:t>
            </w:r>
            <w:r>
              <w:rPr>
                <w:rFonts w:hint="eastAsia" w:ascii="宋体" w:hAnsi="宋体" w:eastAsia="宋体" w:cs="宋体"/>
                <w:b w:val="0"/>
                <w:bCs w:val="0"/>
                <w:i w:val="0"/>
                <w:iCs w:val="0"/>
                <w:color w:val="auto"/>
                <w:kern w:val="0"/>
                <w:sz w:val="24"/>
                <w:szCs w:val="24"/>
                <w:highlight w:val="none"/>
                <w:u w:val="none"/>
                <w:lang w:val="en-US" w:eastAsia="zh-CN" w:bidi="ar"/>
              </w:rPr>
              <w:t>设备调试、操作培等训</w:t>
            </w:r>
            <w:r>
              <w:rPr>
                <w:rFonts w:hint="eastAsia" w:ascii="宋体" w:hAnsi="宋体" w:eastAsia="宋体" w:cs="宋体"/>
                <w:b w:val="0"/>
                <w:bCs w:val="0"/>
                <w:i w:val="0"/>
                <w:iCs w:val="0"/>
                <w:color w:val="auto"/>
                <w:kern w:val="0"/>
                <w:sz w:val="24"/>
                <w:szCs w:val="24"/>
                <w:u w:val="none"/>
                <w:lang w:val="en-US" w:eastAsia="zh-CN" w:bidi="ar"/>
              </w:rPr>
              <w:t>，利旧现有软水处理设备及软化水箱。</w:t>
            </w:r>
          </w:p>
        </w:tc>
      </w:tr>
      <w:tr w14:paraId="779493B8">
        <w:tblPrEx>
          <w:tblCellMar>
            <w:top w:w="0" w:type="dxa"/>
            <w:left w:w="108" w:type="dxa"/>
            <w:bottom w:w="0" w:type="dxa"/>
            <w:right w:w="108" w:type="dxa"/>
          </w:tblCellMar>
        </w:tblPrEx>
        <w:trPr>
          <w:trHeight w:val="800" w:hRule="atLeast"/>
          <w:jc w:val="center"/>
        </w:trPr>
        <w:tc>
          <w:tcPr>
            <w:tcW w:w="1566" w:type="dxa"/>
            <w:tcBorders>
              <w:top w:val="single" w:color="auto" w:sz="4" w:space="0"/>
              <w:left w:val="single" w:color="auto" w:sz="4" w:space="0"/>
              <w:bottom w:val="single" w:color="auto" w:sz="4" w:space="0"/>
              <w:right w:val="single" w:color="auto" w:sz="4" w:space="0"/>
            </w:tcBorders>
            <w:vAlign w:val="center"/>
          </w:tcPr>
          <w:p w14:paraId="2959D522">
            <w:pPr>
              <w:widowControl/>
              <w:ind w:left="420" w:hanging="420"/>
              <w:jc w:val="center"/>
              <w:rPr>
                <w:rFonts w:hint="eastAsia" w:ascii="宋体" w:hAnsi="宋体" w:eastAsia="宋体" w:cs="宋体"/>
                <w:color w:val="auto"/>
                <w:sz w:val="24"/>
                <w:szCs w:val="24"/>
                <w:lang w:bidi="lo-LA"/>
              </w:rPr>
            </w:pPr>
          </w:p>
        </w:tc>
        <w:tc>
          <w:tcPr>
            <w:tcW w:w="842" w:type="dxa"/>
            <w:tcBorders>
              <w:top w:val="single" w:color="auto" w:sz="4" w:space="0"/>
              <w:left w:val="nil"/>
              <w:bottom w:val="single" w:color="auto" w:sz="4" w:space="0"/>
              <w:right w:val="single" w:color="auto" w:sz="4" w:space="0"/>
            </w:tcBorders>
            <w:vAlign w:val="center"/>
          </w:tcPr>
          <w:p w14:paraId="5CF50AB2">
            <w:pPr>
              <w:pStyle w:val="19"/>
              <w:widowControl/>
              <w:ind w:firstLine="0" w:firstLineChars="0"/>
              <w:jc w:val="center"/>
              <w:rPr>
                <w:rFonts w:hint="default" w:ascii="宋体" w:hAnsi="宋体" w:cs="宋体"/>
                <w:color w:val="auto"/>
                <w:kern w:val="0"/>
                <w:sz w:val="24"/>
                <w:szCs w:val="24"/>
                <w:lang w:val="en-US" w:eastAsia="zh-CN" w:bidi="lo-LA"/>
              </w:rPr>
            </w:pPr>
            <w:r>
              <w:rPr>
                <w:rFonts w:hint="eastAsia" w:ascii="宋体" w:hAnsi="宋体" w:cs="宋体"/>
                <w:color w:val="auto"/>
                <w:kern w:val="0"/>
                <w:sz w:val="24"/>
                <w:szCs w:val="24"/>
                <w:lang w:val="en-US" w:eastAsia="zh-CN" w:bidi="lo-LA"/>
              </w:rPr>
              <w:t>5</w:t>
            </w:r>
          </w:p>
        </w:tc>
        <w:tc>
          <w:tcPr>
            <w:tcW w:w="7431" w:type="dxa"/>
            <w:tcBorders>
              <w:top w:val="single" w:color="auto" w:sz="4" w:space="0"/>
              <w:left w:val="nil"/>
              <w:bottom w:val="single" w:color="auto" w:sz="4" w:space="0"/>
              <w:right w:val="single" w:color="auto" w:sz="4" w:space="0"/>
            </w:tcBorders>
            <w:vAlign w:val="center"/>
          </w:tcPr>
          <w:p w14:paraId="6C500BCD">
            <w:pPr>
              <w:spacing w:line="360" w:lineRule="auto"/>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本项目为货物采购，包含设备生产、供货、包装、保险、运输、调试及验收合格之前及保修期内备品备件发生的含税费用。</w:t>
            </w:r>
          </w:p>
        </w:tc>
      </w:tr>
      <w:tr w14:paraId="09BC59EA">
        <w:tblPrEx>
          <w:tblCellMar>
            <w:top w:w="0" w:type="dxa"/>
            <w:left w:w="108" w:type="dxa"/>
            <w:bottom w:w="0" w:type="dxa"/>
            <w:right w:w="108" w:type="dxa"/>
          </w:tblCellMar>
        </w:tblPrEx>
        <w:trPr>
          <w:trHeight w:val="800" w:hRule="atLeast"/>
          <w:jc w:val="center"/>
        </w:trPr>
        <w:tc>
          <w:tcPr>
            <w:tcW w:w="9839" w:type="dxa"/>
            <w:gridSpan w:val="3"/>
            <w:tcBorders>
              <w:top w:val="single" w:color="auto" w:sz="4" w:space="0"/>
              <w:left w:val="single" w:color="auto" w:sz="4" w:space="0"/>
              <w:bottom w:val="single" w:color="auto" w:sz="4" w:space="0"/>
              <w:right w:val="single" w:color="auto" w:sz="4" w:space="0"/>
            </w:tcBorders>
            <w:vAlign w:val="center"/>
          </w:tcPr>
          <w:p w14:paraId="2CEA77EB">
            <w:pPr>
              <w:spacing w:line="360" w:lineRule="auto"/>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sz w:val="28"/>
                <w:szCs w:val="28"/>
                <w:highlight w:val="none"/>
                <w:lang w:val="en-US" w:eastAsia="zh-CN"/>
              </w:rPr>
              <w:t>注：所有技术参数标“★”项为主要技术参数，任意1条不满足则导致响应无效</w:t>
            </w:r>
          </w:p>
        </w:tc>
      </w:tr>
    </w:tbl>
    <w:p w14:paraId="2C968DB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C23231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b/>
          <w:sz w:val="28"/>
          <w:szCs w:val="28"/>
        </w:rPr>
      </w:pPr>
      <w:r>
        <w:rPr>
          <w:rFonts w:hint="eastAsia" w:eastAsia="宋体" w:asciiTheme="minorEastAsia" w:hAnsiTheme="minorEastAsia"/>
          <w:b/>
          <w:sz w:val="28"/>
          <w:szCs w:val="28"/>
          <w:lang w:val="en-US" w:eastAsia="zh-CN"/>
        </w:rPr>
        <w:t>三、资格审查表</w:t>
      </w:r>
    </w:p>
    <w:tbl>
      <w:tblPr>
        <w:tblStyle w:val="15"/>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（如有）</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7AC696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5D217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表2 综合评审表</w:t>
      </w:r>
    </w:p>
    <w:tbl>
      <w:tblPr>
        <w:tblStyle w:val="15"/>
        <w:tblW w:w="54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1058"/>
        <w:gridCol w:w="1210"/>
        <w:gridCol w:w="1407"/>
        <w:gridCol w:w="4714"/>
      </w:tblGrid>
      <w:tr w14:paraId="5DA9C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79" w:type="pct"/>
            <w:gridSpan w:val="2"/>
            <w:noWrap w:val="0"/>
            <w:vAlign w:val="center"/>
          </w:tcPr>
          <w:p w14:paraId="7FABAA6E">
            <w:pPr>
              <w:pStyle w:val="9"/>
              <w:keepNext w:val="0"/>
              <w:keepLines w:val="0"/>
              <w:pageBreakBefore w:val="0"/>
              <w:kinsoku/>
              <w:wordWrap/>
              <w:topLinePunct w:val="0"/>
              <w:bidi w:val="0"/>
              <w:snapToGrid w:val="0"/>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评分因素</w:t>
            </w:r>
          </w:p>
        </w:tc>
        <w:tc>
          <w:tcPr>
            <w:tcW w:w="646" w:type="pct"/>
            <w:noWrap w:val="0"/>
            <w:vAlign w:val="center"/>
          </w:tcPr>
          <w:p w14:paraId="6522FC4F">
            <w:pPr>
              <w:pStyle w:val="9"/>
              <w:keepNext w:val="0"/>
              <w:keepLines w:val="0"/>
              <w:pageBreakBefore w:val="0"/>
              <w:kinsoku/>
              <w:wordWrap/>
              <w:topLinePunct w:val="0"/>
              <w:bidi w:val="0"/>
              <w:snapToGrid w:val="0"/>
              <w:spacing w:line="240" w:lineRule="auto"/>
              <w:jc w:val="center"/>
              <w:rPr>
                <w:rFonts w:hint="eastAsia" w:ascii="宋体" w:hAnsi="宋体" w:eastAsia="宋体" w:cs="宋体"/>
                <w:b/>
                <w:sz w:val="21"/>
                <w:szCs w:val="21"/>
              </w:rPr>
            </w:pPr>
          </w:p>
        </w:tc>
        <w:tc>
          <w:tcPr>
            <w:tcW w:w="3273" w:type="pct"/>
            <w:gridSpan w:val="2"/>
            <w:noWrap w:val="0"/>
            <w:vAlign w:val="center"/>
          </w:tcPr>
          <w:p w14:paraId="78DAA3A1">
            <w:pPr>
              <w:pStyle w:val="9"/>
              <w:keepNext w:val="0"/>
              <w:keepLines w:val="0"/>
              <w:pageBreakBefore w:val="0"/>
              <w:kinsoku/>
              <w:wordWrap/>
              <w:topLinePunct w:val="0"/>
              <w:bidi w:val="0"/>
              <w:snapToGrid w:val="0"/>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评分标准</w:t>
            </w:r>
          </w:p>
        </w:tc>
      </w:tr>
      <w:tr w14:paraId="638C1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jc w:val="center"/>
        </w:trPr>
        <w:tc>
          <w:tcPr>
            <w:tcW w:w="514" w:type="pct"/>
            <w:vMerge w:val="restart"/>
            <w:noWrap w:val="0"/>
            <w:vAlign w:val="center"/>
          </w:tcPr>
          <w:p w14:paraId="02EDF3E4">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技术</w:t>
            </w:r>
          </w:p>
          <w:p w14:paraId="012073AB">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部分</w:t>
            </w:r>
          </w:p>
        </w:tc>
        <w:tc>
          <w:tcPr>
            <w:tcW w:w="565" w:type="pct"/>
            <w:vMerge w:val="restart"/>
            <w:noWrap w:val="0"/>
            <w:vAlign w:val="center"/>
          </w:tcPr>
          <w:p w14:paraId="553162D0">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（60分）</w:t>
            </w:r>
          </w:p>
          <w:p w14:paraId="418A9ACF">
            <w:pPr>
              <w:keepNext w:val="0"/>
              <w:keepLines w:val="0"/>
              <w:pageBreakBefore w:val="0"/>
              <w:tabs>
                <w:tab w:val="left" w:pos="342"/>
              </w:tabs>
              <w:kinsoku/>
              <w:wordWrap/>
              <w:topLinePunct w:val="0"/>
              <w:bidi w:val="0"/>
              <w:spacing w:line="240" w:lineRule="auto"/>
              <w:jc w:val="left"/>
              <w:rPr>
                <w:rFonts w:hint="eastAsia" w:ascii="宋体" w:hAnsi="宋体" w:eastAsia="宋体" w:cs="宋体"/>
                <w:b/>
                <w:sz w:val="21"/>
                <w:szCs w:val="21"/>
                <w:lang w:val="en-US" w:eastAsia="zh-CN"/>
              </w:rPr>
            </w:pPr>
          </w:p>
        </w:tc>
        <w:tc>
          <w:tcPr>
            <w:tcW w:w="646" w:type="pct"/>
            <w:vMerge w:val="restart"/>
            <w:noWrap w:val="0"/>
            <w:vAlign w:val="center"/>
          </w:tcPr>
          <w:p w14:paraId="2F3741A9">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1"/>
                <w:szCs w:val="21"/>
              </w:rPr>
            </w:pPr>
          </w:p>
        </w:tc>
        <w:tc>
          <w:tcPr>
            <w:tcW w:w="752" w:type="pct"/>
            <w:noWrap w:val="0"/>
            <w:vAlign w:val="center"/>
          </w:tcPr>
          <w:p w14:paraId="5A6A2D34">
            <w:pPr>
              <w:pStyle w:val="33"/>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Style w:val="34"/>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snapToGrid w:val="0"/>
                <w:color w:val="000000"/>
                <w:kern w:val="0"/>
                <w:sz w:val="21"/>
                <w:szCs w:val="21"/>
              </w:rPr>
              <w:t>技术指标响应情况</w:t>
            </w:r>
            <w:r>
              <w:rPr>
                <w:rFonts w:hint="eastAsia" w:ascii="宋体" w:hAnsi="宋体" w:eastAsia="宋体" w:cs="宋体"/>
                <w:snapToGrid w:val="0"/>
                <w:color w:val="000000"/>
                <w:kern w:val="0"/>
                <w:sz w:val="21"/>
                <w:szCs w:val="21"/>
                <w:lang w:eastAsia="zh-CN"/>
              </w:rPr>
              <w:t>（</w:t>
            </w:r>
            <w:r>
              <w:rPr>
                <w:rFonts w:hint="eastAsia" w:ascii="宋体" w:hAnsi="宋体" w:cs="宋体"/>
                <w:snapToGrid w:val="0"/>
                <w:color w:val="000000"/>
                <w:kern w:val="0"/>
                <w:sz w:val="21"/>
                <w:szCs w:val="21"/>
                <w:lang w:val="en-US" w:eastAsia="zh-CN"/>
              </w:rPr>
              <w:t>18</w:t>
            </w:r>
            <w:r>
              <w:rPr>
                <w:rFonts w:hint="eastAsia" w:ascii="宋体" w:hAnsi="宋体" w:eastAsia="宋体" w:cs="宋体"/>
                <w:snapToGrid w:val="0"/>
                <w:color w:val="000000"/>
                <w:kern w:val="0"/>
                <w:sz w:val="21"/>
                <w:szCs w:val="21"/>
                <w:lang w:val="en-US" w:eastAsia="zh-CN"/>
              </w:rPr>
              <w:t>分</w:t>
            </w:r>
            <w:r>
              <w:rPr>
                <w:rFonts w:hint="eastAsia" w:ascii="宋体" w:hAnsi="宋体" w:eastAsia="宋体" w:cs="宋体"/>
                <w:snapToGrid w:val="0"/>
                <w:color w:val="000000"/>
                <w:kern w:val="0"/>
                <w:sz w:val="21"/>
                <w:szCs w:val="21"/>
                <w:lang w:eastAsia="zh-CN"/>
              </w:rPr>
              <w:t>）</w:t>
            </w:r>
          </w:p>
        </w:tc>
        <w:tc>
          <w:tcPr>
            <w:tcW w:w="2520" w:type="pct"/>
            <w:noWrap w:val="0"/>
            <w:vAlign w:val="center"/>
          </w:tcPr>
          <w:p w14:paraId="03A68538">
            <w:pPr>
              <w:pStyle w:val="32"/>
              <w:keepNext w:val="0"/>
              <w:keepLines w:val="0"/>
              <w:pageBreakBefore w:val="0"/>
              <w:widowControl w:val="0"/>
              <w:wordWrap/>
              <w:overflowPunct/>
              <w:topLinePunct w:val="0"/>
              <w:bidi w:val="0"/>
              <w:snapToGrid w:val="0"/>
              <w:spacing w:before="37" w:line="240" w:lineRule="auto"/>
              <w:ind w:left="0" w:leftChars="0" w:right="0" w:rightChars="0" w:firstLine="202" w:firstLineChars="100"/>
              <w:jc w:val="left"/>
              <w:rPr>
                <w:rFonts w:hint="eastAsia" w:ascii="宋体" w:hAnsi="宋体" w:eastAsia="宋体" w:cs="宋体"/>
                <w:sz w:val="21"/>
                <w:szCs w:val="21"/>
                <w:highlight w:val="none"/>
                <w:lang w:val="en-US" w:eastAsia="zh-CN"/>
              </w:rPr>
            </w:pPr>
            <w:r>
              <w:rPr>
                <w:rFonts w:hint="eastAsia" w:ascii="宋体" w:hAnsi="宋体" w:eastAsia="宋体" w:cs="宋体"/>
                <w:spacing w:val="-4"/>
                <w:sz w:val="21"/>
                <w:szCs w:val="21"/>
              </w:rPr>
              <w:t>所有产品一般技术参数指标（非“★”项）完全响应招标文件要求的得</w:t>
            </w:r>
            <w:r>
              <w:rPr>
                <w:rFonts w:hint="eastAsia" w:eastAsia="宋体" w:cs="宋体"/>
                <w:spacing w:val="-4"/>
                <w:sz w:val="21"/>
                <w:szCs w:val="21"/>
                <w:lang w:val="en-US" w:eastAsia="zh-CN"/>
              </w:rPr>
              <w:t>18</w:t>
            </w:r>
            <w:r>
              <w:rPr>
                <w:rFonts w:hint="eastAsia" w:ascii="宋体" w:hAnsi="宋体" w:eastAsia="宋体" w:cs="宋体"/>
                <w:spacing w:val="-4"/>
                <w:sz w:val="21"/>
                <w:szCs w:val="21"/>
              </w:rPr>
              <w:t>分，每有一项不满足或负偏离扣</w:t>
            </w:r>
            <w:r>
              <w:rPr>
                <w:rFonts w:hint="eastAsia" w:eastAsia="宋体" w:cs="宋体"/>
                <w:spacing w:val="-4"/>
                <w:sz w:val="21"/>
                <w:szCs w:val="21"/>
                <w:lang w:val="en-US" w:eastAsia="zh-CN"/>
              </w:rPr>
              <w:t>2</w:t>
            </w:r>
            <w:r>
              <w:rPr>
                <w:rFonts w:hint="eastAsia" w:ascii="宋体" w:hAnsi="宋体" w:eastAsia="宋体" w:cs="宋体"/>
                <w:spacing w:val="-4"/>
                <w:sz w:val="21"/>
                <w:szCs w:val="21"/>
              </w:rPr>
              <w:t>分，分值扣完为止。</w:t>
            </w:r>
          </w:p>
        </w:tc>
      </w:tr>
      <w:tr w14:paraId="6898D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514" w:type="pct"/>
            <w:vMerge w:val="continue"/>
            <w:noWrap w:val="0"/>
            <w:vAlign w:val="center"/>
          </w:tcPr>
          <w:p w14:paraId="04ECAAF9">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sz w:val="21"/>
                <w:szCs w:val="21"/>
              </w:rPr>
            </w:pPr>
          </w:p>
        </w:tc>
        <w:tc>
          <w:tcPr>
            <w:tcW w:w="565" w:type="pct"/>
            <w:vMerge w:val="continue"/>
            <w:noWrap w:val="0"/>
            <w:vAlign w:val="center"/>
          </w:tcPr>
          <w:p w14:paraId="40EF71B3">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sz w:val="21"/>
                <w:szCs w:val="21"/>
              </w:rPr>
            </w:pPr>
          </w:p>
        </w:tc>
        <w:tc>
          <w:tcPr>
            <w:tcW w:w="646" w:type="pct"/>
            <w:vMerge w:val="continue"/>
            <w:noWrap w:val="0"/>
            <w:vAlign w:val="center"/>
          </w:tcPr>
          <w:p w14:paraId="12B03E06">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sz w:val="21"/>
                <w:szCs w:val="21"/>
              </w:rPr>
            </w:pPr>
          </w:p>
        </w:tc>
        <w:tc>
          <w:tcPr>
            <w:tcW w:w="752" w:type="pct"/>
            <w:noWrap w:val="0"/>
            <w:vAlign w:val="center"/>
          </w:tcPr>
          <w:p w14:paraId="6459669B">
            <w:pPr>
              <w:pStyle w:val="33"/>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项目实施方案</w:t>
            </w:r>
          </w:p>
          <w:p w14:paraId="3F84C7FA">
            <w:pPr>
              <w:pStyle w:val="33"/>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Style w:val="34"/>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w:t>
            </w:r>
            <w:r>
              <w:rPr>
                <w:rFonts w:hint="eastAsia" w:ascii="宋体" w:hAnsi="宋体" w:cs="宋体"/>
                <w:color w:val="000000"/>
                <w:sz w:val="21"/>
                <w:szCs w:val="21"/>
                <w:lang w:val="en-US" w:eastAsia="zh-CN"/>
              </w:rPr>
              <w:t>12</w:t>
            </w:r>
            <w:r>
              <w:rPr>
                <w:rFonts w:hint="eastAsia" w:ascii="宋体" w:hAnsi="宋体" w:eastAsia="宋体" w:cs="宋体"/>
                <w:color w:val="000000"/>
                <w:sz w:val="21"/>
                <w:szCs w:val="21"/>
              </w:rPr>
              <w:t>分）</w:t>
            </w:r>
          </w:p>
        </w:tc>
        <w:tc>
          <w:tcPr>
            <w:tcW w:w="2520" w:type="pct"/>
            <w:noWrap w:val="0"/>
            <w:vAlign w:val="center"/>
          </w:tcPr>
          <w:p w14:paraId="3E6BC868">
            <w:pPr>
              <w:spacing w:line="360" w:lineRule="exact"/>
              <w:rPr>
                <w:rFonts w:hint="eastAsia" w:ascii="宋体" w:hAnsi="宋体" w:eastAsia="宋体" w:cs="宋体"/>
                <w:szCs w:val="21"/>
                <w:highlight w:val="green"/>
                <w:lang w:eastAsia="zh-CN"/>
              </w:rPr>
            </w:pPr>
            <w:r>
              <w:rPr>
                <w:rFonts w:hint="eastAsia" w:ascii="宋体" w:hAnsi="宋体" w:eastAsia="宋体" w:cs="宋体"/>
                <w:color w:val="000000"/>
                <w:sz w:val="21"/>
                <w:szCs w:val="21"/>
                <w:lang w:val="en-US" w:eastAsia="zh-CN"/>
              </w:rPr>
              <w:t>根据本项目招标内容及特点提供实施方案，包括但不限于：①项目实施进度及质量保障措施；②项目安装、调试、试运行方案；③项目组人员构成；④操作培训方案。</w:t>
            </w:r>
          </w:p>
          <w:p w14:paraId="6B151376">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lang w:val="en-US" w:eastAsia="zh-CN"/>
              </w:rPr>
            </w:pPr>
          </w:p>
          <w:p w14:paraId="09E4D0E6">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以上内容，提供方案者即得基础分8分。额外加分标准：</w:t>
            </w:r>
          </w:p>
          <w:p w14:paraId="045973CA">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1、内容完整细致、科学合理、重点突出、整体思路清晰、贴合项目实际，完全满足采购需求的得4分；</w:t>
            </w:r>
          </w:p>
          <w:p w14:paraId="414FCD93">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2、内容完整、重点突出、思路清晰，能够满足采购需求的得3分；</w:t>
            </w:r>
          </w:p>
          <w:p w14:paraId="120AFA42">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3、实施方案内容全面、方案有一定可行性，满足采购需求的得2分；</w:t>
            </w:r>
          </w:p>
          <w:p w14:paraId="52C117DB">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4、内容不全面或不贴合项目实际需求的得1分；</w:t>
            </w:r>
          </w:p>
          <w:p w14:paraId="42BCC22A">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1"/>
                <w:szCs w:val="21"/>
                <w:lang w:val="en-US" w:eastAsia="zh-CN"/>
              </w:rPr>
            </w:pPr>
            <w:r>
              <w:rPr>
                <w:rFonts w:hint="eastAsia" w:ascii="宋体" w:hAnsi="宋体" w:eastAsia="宋体" w:cs="宋体"/>
                <w:color w:val="000000"/>
                <w:sz w:val="21"/>
                <w:szCs w:val="21"/>
                <w:lang w:val="en-US" w:eastAsia="zh-CN"/>
              </w:rPr>
              <w:t>5、未提供方案的不得分。</w:t>
            </w:r>
          </w:p>
        </w:tc>
      </w:tr>
      <w:tr w14:paraId="2F75C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4" w:type="pct"/>
            <w:vMerge w:val="continue"/>
            <w:noWrap w:val="0"/>
            <w:vAlign w:val="center"/>
          </w:tcPr>
          <w:p w14:paraId="4A89D3D5">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1"/>
                <w:szCs w:val="21"/>
                <w:lang w:val="en-US" w:eastAsia="zh-CN"/>
              </w:rPr>
            </w:pPr>
          </w:p>
        </w:tc>
        <w:tc>
          <w:tcPr>
            <w:tcW w:w="565" w:type="pct"/>
            <w:vMerge w:val="continue"/>
            <w:noWrap w:val="0"/>
            <w:vAlign w:val="center"/>
          </w:tcPr>
          <w:p w14:paraId="374726BE">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1"/>
                <w:szCs w:val="21"/>
                <w:lang w:val="en-US" w:eastAsia="zh-CN"/>
              </w:rPr>
            </w:pPr>
          </w:p>
        </w:tc>
        <w:tc>
          <w:tcPr>
            <w:tcW w:w="646" w:type="pct"/>
            <w:vMerge w:val="continue"/>
            <w:noWrap w:val="0"/>
            <w:vAlign w:val="center"/>
          </w:tcPr>
          <w:p w14:paraId="33E90AC4">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1"/>
                <w:szCs w:val="21"/>
                <w:lang w:val="en-US" w:eastAsia="zh-CN"/>
              </w:rPr>
            </w:pPr>
          </w:p>
        </w:tc>
        <w:tc>
          <w:tcPr>
            <w:tcW w:w="752" w:type="pct"/>
            <w:noWrap w:val="0"/>
            <w:vAlign w:val="center"/>
          </w:tcPr>
          <w:p w14:paraId="606436BF">
            <w:pPr>
              <w:spacing w:line="360" w:lineRule="auto"/>
              <w:jc w:val="center"/>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rPr>
              <w:t>施工安全</w:t>
            </w:r>
            <w:r>
              <w:rPr>
                <w:rFonts w:hint="eastAsia" w:ascii="宋体" w:hAnsi="宋体" w:eastAsia="宋体" w:cs="宋体"/>
                <w:kern w:val="0"/>
                <w:sz w:val="21"/>
                <w:szCs w:val="21"/>
                <w:lang w:eastAsia="zh-CN"/>
              </w:rPr>
              <w:t>文明</w:t>
            </w:r>
            <w:r>
              <w:rPr>
                <w:rFonts w:hint="eastAsia" w:ascii="宋体" w:hAnsi="宋体" w:eastAsia="宋体" w:cs="宋体"/>
                <w:kern w:val="0"/>
                <w:sz w:val="21"/>
                <w:szCs w:val="21"/>
              </w:rPr>
              <w:t>措施计划(</w:t>
            </w:r>
            <w:r>
              <w:rPr>
                <w:rFonts w:hint="eastAsia" w:ascii="宋体" w:hAnsi="宋体" w:eastAsia="宋体" w:cs="宋体"/>
                <w:kern w:val="0"/>
                <w:sz w:val="21"/>
                <w:szCs w:val="21"/>
                <w:lang w:val="en-US" w:eastAsia="zh-CN"/>
              </w:rPr>
              <w:t>5</w:t>
            </w:r>
            <w:r>
              <w:rPr>
                <w:rFonts w:hint="eastAsia" w:ascii="宋体" w:hAnsi="宋体" w:eastAsia="宋体" w:cs="宋体"/>
                <w:kern w:val="0"/>
                <w:sz w:val="21"/>
                <w:szCs w:val="21"/>
              </w:rPr>
              <w:t>分)</w:t>
            </w:r>
          </w:p>
        </w:tc>
        <w:tc>
          <w:tcPr>
            <w:tcW w:w="2520" w:type="pct"/>
            <w:noWrap w:val="0"/>
            <w:vAlign w:val="center"/>
          </w:tcPr>
          <w:p w14:paraId="71956ADC">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green"/>
                <w:lang w:val="en-US" w:eastAsia="zh-CN"/>
              </w:rPr>
            </w:pPr>
            <w:r>
              <w:rPr>
                <w:rFonts w:hint="eastAsia" w:ascii="宋体" w:hAnsi="宋体" w:eastAsia="宋体" w:cs="宋体"/>
                <w:color w:val="000000"/>
                <w:sz w:val="21"/>
                <w:szCs w:val="21"/>
                <w:lang w:val="en-US" w:eastAsia="zh-CN"/>
              </w:rPr>
              <w:t xml:space="preserve">投标人针对施工安全文明措施编制计划方案。要求安全体系设置合理、安全⽣产责任到⼈职责分明、⽂明施⼯落实到位、安全隐患预控有前瞻性、保障措施完善可⾏、有针对性的减少噪⾳、建筑垃圾清理彻底性、建筑垃圾运输时效性有详细措施。提供方案者即得基础分2分。额外加分标准： </w:t>
            </w:r>
          </w:p>
          <w:p w14:paraId="0A5A1007">
            <w:pPr>
              <w:keepNext w:val="0"/>
              <w:keepLines w:val="0"/>
              <w:pageBreakBefore w:val="0"/>
              <w:widowControl/>
              <w:numPr>
                <w:ilvl w:val="0"/>
                <w:numId w:val="4"/>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措施完善可行，安全及保卫工作有针对性得3分。 </w:t>
            </w:r>
          </w:p>
          <w:p w14:paraId="6DBC5C53">
            <w:pPr>
              <w:keepNext w:val="0"/>
              <w:keepLines w:val="0"/>
              <w:pageBreakBefore w:val="0"/>
              <w:widowControl/>
              <w:numPr>
                <w:ilvl w:val="0"/>
                <w:numId w:val="4"/>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1"/>
                <w:szCs w:val="21"/>
                <w:lang w:val="en-US" w:eastAsia="zh-CN"/>
              </w:rPr>
            </w:pPr>
            <w:r>
              <w:rPr>
                <w:rFonts w:hint="eastAsia" w:ascii="宋体" w:hAnsi="宋体" w:eastAsia="宋体" w:cs="宋体"/>
                <w:color w:val="000000"/>
                <w:sz w:val="21"/>
                <w:szCs w:val="21"/>
                <w:lang w:val="en-US" w:eastAsia="zh-CN"/>
              </w:rPr>
              <w:t xml:space="preserve">措施基本完善，安全及保卫工作有一定可行性得2分。 </w:t>
            </w:r>
          </w:p>
          <w:p w14:paraId="5756A5F6">
            <w:pPr>
              <w:keepNext w:val="0"/>
              <w:keepLines w:val="0"/>
              <w:pageBreakBefore w:val="0"/>
              <w:widowControl/>
              <w:numPr>
                <w:ilvl w:val="0"/>
                <w:numId w:val="4"/>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1"/>
                <w:szCs w:val="21"/>
                <w:lang w:val="en-US" w:eastAsia="zh-CN"/>
              </w:rPr>
            </w:pPr>
            <w:r>
              <w:rPr>
                <w:rFonts w:hint="eastAsia" w:ascii="宋体" w:hAnsi="宋体" w:eastAsia="宋体" w:cs="宋体"/>
                <w:color w:val="000000"/>
                <w:sz w:val="21"/>
                <w:szCs w:val="21"/>
                <w:lang w:val="en-US" w:eastAsia="zh-CN"/>
              </w:rPr>
              <w:t>措施不完善，安全及保卫工作针对性一般的得1分；</w:t>
            </w:r>
          </w:p>
          <w:p w14:paraId="0122BADD">
            <w:pPr>
              <w:keepNext w:val="0"/>
              <w:keepLines w:val="0"/>
              <w:pageBreakBefore w:val="0"/>
              <w:widowControl/>
              <w:numPr>
                <w:ilvl w:val="0"/>
                <w:numId w:val="4"/>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1"/>
                <w:szCs w:val="21"/>
                <w:lang w:val="en-US" w:eastAsia="zh-CN"/>
              </w:rPr>
            </w:pPr>
            <w:r>
              <w:rPr>
                <w:rFonts w:hint="eastAsia" w:ascii="宋体" w:hAnsi="宋体" w:eastAsia="宋体" w:cs="宋体"/>
                <w:color w:val="000000"/>
                <w:sz w:val="21"/>
                <w:szCs w:val="21"/>
                <w:lang w:val="en-US" w:eastAsia="zh-CN"/>
              </w:rPr>
              <w:t>未提供不得分。</w:t>
            </w:r>
          </w:p>
        </w:tc>
      </w:tr>
      <w:tr w14:paraId="65FE6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4" w:type="pct"/>
            <w:vMerge w:val="continue"/>
            <w:noWrap w:val="0"/>
            <w:vAlign w:val="center"/>
          </w:tcPr>
          <w:p w14:paraId="40FDB6FD">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1"/>
                <w:szCs w:val="21"/>
                <w:lang w:val="en-US" w:eastAsia="zh-CN"/>
              </w:rPr>
            </w:pPr>
          </w:p>
        </w:tc>
        <w:tc>
          <w:tcPr>
            <w:tcW w:w="565" w:type="pct"/>
            <w:vMerge w:val="continue"/>
            <w:noWrap w:val="0"/>
            <w:vAlign w:val="center"/>
          </w:tcPr>
          <w:p w14:paraId="59960212">
            <w:pPr>
              <w:keepNext w:val="0"/>
              <w:keepLines w:val="0"/>
              <w:pageBreakBefore w:val="0"/>
              <w:kinsoku/>
              <w:wordWrap/>
              <w:topLinePunct w:val="0"/>
              <w:bidi w:val="0"/>
              <w:spacing w:line="240" w:lineRule="auto"/>
              <w:jc w:val="center"/>
              <w:rPr>
                <w:rFonts w:hint="eastAsia" w:ascii="宋体" w:hAnsi="宋体" w:eastAsia="宋体" w:cs="宋体"/>
                <w:kern w:val="0"/>
                <w:sz w:val="21"/>
                <w:szCs w:val="21"/>
              </w:rPr>
            </w:pPr>
          </w:p>
        </w:tc>
        <w:tc>
          <w:tcPr>
            <w:tcW w:w="646" w:type="pct"/>
            <w:vMerge w:val="continue"/>
            <w:noWrap w:val="0"/>
            <w:vAlign w:val="center"/>
          </w:tcPr>
          <w:p w14:paraId="717FFF5C">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1"/>
                <w:szCs w:val="21"/>
              </w:rPr>
            </w:pPr>
          </w:p>
        </w:tc>
        <w:tc>
          <w:tcPr>
            <w:tcW w:w="752" w:type="pct"/>
            <w:noWrap w:val="0"/>
            <w:vAlign w:val="center"/>
          </w:tcPr>
          <w:p w14:paraId="399DEC7D">
            <w:pPr>
              <w:spacing w:line="360" w:lineRule="auto"/>
              <w:jc w:val="center"/>
              <w:rPr>
                <w:rFonts w:hint="eastAsia" w:ascii="宋体" w:hAnsi="宋体" w:eastAsia="宋体" w:cs="宋体"/>
                <w:kern w:val="0"/>
                <w:sz w:val="21"/>
                <w:szCs w:val="21"/>
                <w:lang w:eastAsia="en-US"/>
              </w:rPr>
            </w:pPr>
            <w:r>
              <w:rPr>
                <w:rFonts w:hint="eastAsia" w:ascii="宋体" w:hAnsi="宋体" w:eastAsia="宋体" w:cs="宋体"/>
                <w:kern w:val="0"/>
                <w:sz w:val="21"/>
                <w:szCs w:val="21"/>
                <w:lang w:eastAsia="en-US"/>
              </w:rPr>
              <w:t>安全质量控制</w:t>
            </w:r>
          </w:p>
          <w:p w14:paraId="263596AD">
            <w:pPr>
              <w:spacing w:line="36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15</w:t>
            </w:r>
            <w:r>
              <w:rPr>
                <w:rFonts w:hint="eastAsia" w:ascii="宋体" w:hAnsi="宋体" w:eastAsia="宋体" w:cs="宋体"/>
                <w:kern w:val="0"/>
                <w:sz w:val="21"/>
                <w:szCs w:val="21"/>
              </w:rPr>
              <w:t>分）</w:t>
            </w:r>
          </w:p>
        </w:tc>
        <w:tc>
          <w:tcPr>
            <w:tcW w:w="2520" w:type="pct"/>
            <w:noWrap w:val="0"/>
            <w:vAlign w:val="center"/>
          </w:tcPr>
          <w:p w14:paraId="6BCE0E35">
            <w:pPr>
              <w:spacing w:line="360" w:lineRule="exact"/>
              <w:rPr>
                <w:rFonts w:hint="eastAsia" w:ascii="宋体" w:hAnsi="宋体" w:eastAsia="宋体" w:cs="宋体"/>
                <w:szCs w:val="21"/>
                <w:highlight w:val="green"/>
                <w:lang w:eastAsia="zh-CN"/>
              </w:rPr>
            </w:pPr>
            <w:r>
              <w:rPr>
                <w:rFonts w:hint="eastAsia" w:ascii="宋体" w:hAnsi="宋体" w:eastAsia="宋体" w:cs="宋体"/>
                <w:color w:val="000000"/>
                <w:sz w:val="21"/>
                <w:szCs w:val="21"/>
                <w:lang w:val="en-US" w:eastAsia="zh-CN"/>
              </w:rPr>
              <w:t>本项目的现场安全风险主要涉及触电风险、高处作业、易燃易爆等，以上内容，提供方案者即得基础分11分。额外加分标准：</w:t>
            </w:r>
          </w:p>
          <w:p w14:paraId="000E1C7C">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lang w:val="en-US" w:eastAsia="zh-CN"/>
              </w:rPr>
            </w:pPr>
          </w:p>
          <w:p w14:paraId="3698319A">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（1）安全质量控制完整细致、科学合理、重点突出、整体思路清晰、贴合项目实际，完全满足采购需求的得4分；</w:t>
            </w:r>
          </w:p>
          <w:p w14:paraId="3D7FD8C4">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（2）安全质量控制内容完整、重点突出、思路清晰，能够满足采购需求的得3分；</w:t>
            </w:r>
          </w:p>
          <w:p w14:paraId="6037EE63">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（3）安全质量控制实施方案内容全面、方案有一定可行性，基本满足采购需求的得2分；</w:t>
            </w:r>
          </w:p>
          <w:p w14:paraId="2D111D36">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（4）安全质量控制内容不全面或不贴合项目实际需求的得1分；</w:t>
            </w:r>
          </w:p>
          <w:p w14:paraId="3535B218">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1"/>
                <w:szCs w:val="21"/>
                <w:lang w:val="en-US" w:eastAsia="zh-CN"/>
              </w:rPr>
            </w:pPr>
            <w:r>
              <w:rPr>
                <w:rFonts w:hint="eastAsia" w:ascii="宋体" w:hAnsi="宋体" w:eastAsia="宋体" w:cs="宋体"/>
                <w:color w:val="000000"/>
                <w:sz w:val="21"/>
                <w:szCs w:val="21"/>
                <w:lang w:val="en-US" w:eastAsia="zh-CN"/>
              </w:rPr>
              <w:t>（5）未提供方案的不得分。</w:t>
            </w:r>
          </w:p>
        </w:tc>
      </w:tr>
      <w:tr w14:paraId="413AC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514" w:type="pct"/>
            <w:vMerge w:val="continue"/>
            <w:noWrap w:val="0"/>
            <w:vAlign w:val="center"/>
          </w:tcPr>
          <w:p w14:paraId="1C52E6D7">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1"/>
                <w:szCs w:val="21"/>
                <w:lang w:val="en-US" w:eastAsia="zh-CN"/>
              </w:rPr>
            </w:pPr>
          </w:p>
        </w:tc>
        <w:tc>
          <w:tcPr>
            <w:tcW w:w="565" w:type="pct"/>
            <w:vMerge w:val="continue"/>
            <w:noWrap w:val="0"/>
            <w:vAlign w:val="center"/>
          </w:tcPr>
          <w:p w14:paraId="008E138B">
            <w:pPr>
              <w:keepNext w:val="0"/>
              <w:keepLines w:val="0"/>
              <w:pageBreakBefore w:val="0"/>
              <w:kinsoku/>
              <w:wordWrap/>
              <w:topLinePunct w:val="0"/>
              <w:bidi w:val="0"/>
              <w:spacing w:line="240" w:lineRule="auto"/>
              <w:jc w:val="center"/>
              <w:rPr>
                <w:rFonts w:hint="eastAsia" w:ascii="宋体" w:hAnsi="宋体" w:eastAsia="宋体" w:cs="宋体"/>
                <w:kern w:val="0"/>
                <w:sz w:val="21"/>
                <w:szCs w:val="21"/>
              </w:rPr>
            </w:pPr>
          </w:p>
        </w:tc>
        <w:tc>
          <w:tcPr>
            <w:tcW w:w="646" w:type="pct"/>
            <w:vMerge w:val="continue"/>
            <w:noWrap w:val="0"/>
            <w:vAlign w:val="center"/>
          </w:tcPr>
          <w:p w14:paraId="3CD8B727">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1"/>
                <w:szCs w:val="21"/>
              </w:rPr>
            </w:pPr>
          </w:p>
        </w:tc>
        <w:tc>
          <w:tcPr>
            <w:tcW w:w="752" w:type="pct"/>
            <w:noWrap w:val="0"/>
            <w:vAlign w:val="center"/>
          </w:tcPr>
          <w:p w14:paraId="7B097396">
            <w:pPr>
              <w:autoSpaceDE w:val="0"/>
              <w:autoSpaceDN w:val="0"/>
              <w:adjustRightInd w:val="0"/>
              <w:spacing w:line="36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应急预案及措施</w:t>
            </w:r>
          </w:p>
          <w:p w14:paraId="259FEB19">
            <w:pPr>
              <w:autoSpaceDE w:val="0"/>
              <w:autoSpaceDN w:val="0"/>
              <w:adjustRightInd w:val="0"/>
              <w:spacing w:line="36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5</w:t>
            </w:r>
            <w:r>
              <w:rPr>
                <w:rFonts w:hint="eastAsia" w:ascii="宋体" w:hAnsi="宋体" w:eastAsia="宋体" w:cs="宋体"/>
                <w:kern w:val="0"/>
                <w:sz w:val="21"/>
                <w:szCs w:val="21"/>
              </w:rPr>
              <w:t>分）</w:t>
            </w:r>
          </w:p>
        </w:tc>
        <w:tc>
          <w:tcPr>
            <w:tcW w:w="2520" w:type="pct"/>
            <w:noWrap w:val="0"/>
            <w:vAlign w:val="center"/>
          </w:tcPr>
          <w:p w14:paraId="4056F9D8">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green"/>
                <w:lang w:val="en-US" w:eastAsia="zh-CN"/>
              </w:rPr>
            </w:pPr>
            <w:r>
              <w:rPr>
                <w:rFonts w:hint="eastAsia" w:ascii="宋体" w:hAnsi="宋体" w:eastAsia="宋体" w:cs="宋体"/>
                <w:color w:val="000000"/>
                <w:sz w:val="21"/>
                <w:szCs w:val="21"/>
                <w:highlight w:val="none"/>
                <w:lang w:val="en-US" w:eastAsia="zh-CN"/>
              </w:rPr>
              <w:t>投标人针对项目提供应急预案以及应对措施方案，包含突发事件应对快捷性、保障措施全⾯完善且有明确方案。提供方案即得基础分2分。额外加分标准： 1.针对工程施工过程中可能遇到的各种风险的预案以及应对措施合理、切实可行得3分。 2.针对工程施工过程中可能遇到的各种风险的预案以及应对措施较合理可行得2分。 3.针对工程施工过程中可能遇到的各种风险的预案以及应对措施合理可行性较一般得1分。 4.未提供不得分。</w:t>
            </w:r>
          </w:p>
          <w:p w14:paraId="35A87471">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1"/>
                <w:szCs w:val="21"/>
                <w:lang w:val="en-US" w:eastAsia="zh-CN"/>
              </w:rPr>
            </w:pPr>
          </w:p>
        </w:tc>
      </w:tr>
      <w:tr w14:paraId="5FE50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514" w:type="pct"/>
            <w:vMerge w:val="continue"/>
            <w:noWrap w:val="0"/>
            <w:vAlign w:val="center"/>
          </w:tcPr>
          <w:p w14:paraId="258CFDDE">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1"/>
                <w:szCs w:val="21"/>
                <w:lang w:val="en-US" w:eastAsia="zh-CN"/>
              </w:rPr>
            </w:pPr>
          </w:p>
        </w:tc>
        <w:tc>
          <w:tcPr>
            <w:tcW w:w="565" w:type="pct"/>
            <w:vMerge w:val="continue"/>
            <w:noWrap w:val="0"/>
            <w:vAlign w:val="center"/>
          </w:tcPr>
          <w:p w14:paraId="24F46F51">
            <w:pPr>
              <w:keepNext w:val="0"/>
              <w:keepLines w:val="0"/>
              <w:pageBreakBefore w:val="0"/>
              <w:kinsoku/>
              <w:wordWrap/>
              <w:topLinePunct w:val="0"/>
              <w:bidi w:val="0"/>
              <w:spacing w:line="240" w:lineRule="auto"/>
              <w:jc w:val="center"/>
              <w:rPr>
                <w:rFonts w:hint="eastAsia" w:ascii="宋体" w:hAnsi="宋体" w:eastAsia="宋体" w:cs="宋体"/>
                <w:kern w:val="0"/>
                <w:sz w:val="21"/>
                <w:szCs w:val="21"/>
              </w:rPr>
            </w:pPr>
          </w:p>
        </w:tc>
        <w:tc>
          <w:tcPr>
            <w:tcW w:w="646" w:type="pct"/>
            <w:vMerge w:val="continue"/>
            <w:noWrap w:val="0"/>
            <w:vAlign w:val="center"/>
          </w:tcPr>
          <w:p w14:paraId="782D8B67">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1"/>
                <w:szCs w:val="21"/>
              </w:rPr>
            </w:pPr>
          </w:p>
        </w:tc>
        <w:tc>
          <w:tcPr>
            <w:tcW w:w="752" w:type="pct"/>
            <w:noWrap w:val="0"/>
            <w:vAlign w:val="center"/>
          </w:tcPr>
          <w:p w14:paraId="5AC3F077">
            <w:pPr>
              <w:pStyle w:val="35"/>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资源配备计划</w:t>
            </w:r>
          </w:p>
          <w:p w14:paraId="54A9DFE7">
            <w:pPr>
              <w:pStyle w:val="35"/>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分）</w:t>
            </w:r>
          </w:p>
        </w:tc>
        <w:tc>
          <w:tcPr>
            <w:tcW w:w="2520" w:type="pct"/>
            <w:noWrap w:val="0"/>
            <w:vAlign w:val="center"/>
          </w:tcPr>
          <w:p w14:paraId="5AD2E2F3">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1"/>
                <w:szCs w:val="21"/>
                <w:lang w:val="en-US" w:eastAsia="zh-CN"/>
              </w:rPr>
            </w:pPr>
            <w:r>
              <w:rPr>
                <w:rFonts w:hint="eastAsia" w:ascii="宋体" w:hAnsi="宋体" w:eastAsia="宋体" w:cs="宋体"/>
                <w:color w:val="000000"/>
                <w:sz w:val="21"/>
                <w:szCs w:val="21"/>
                <w:highlight w:val="none"/>
                <w:lang w:val="en-US" w:eastAsia="zh-CN"/>
              </w:rPr>
              <w:t>投标人针对项目提供资源配备计划方案，包含对投入的劳动力人数合理性、专业搭配齐全程度、从业证件齐全（如焊接作业⼈员应有焊接作业证）、各施⼯⼈员职责划分清晰、人员分⼯明确、劳动力安排中充分考虑医院环境因素（如控制噪⾳、保障就诊来往人员安全等）、具备应对突发情况（如天⽓变化、⼯期调整）的⼈员调配⽅案有具体相应措施。提供方案即得基础分2分。额外加分标准： 1.投入的劳动力与施工设备数量、种类的全面、合理、有效，得3分。 2.投入的劳动力与施工设备数量、种类较全面、较合理，得2分。 3.投入的劳动力与施工设备数量、种类的一般合理，得1分。 4.未提供不得分。</w:t>
            </w:r>
          </w:p>
        </w:tc>
      </w:tr>
      <w:tr w14:paraId="0F1B5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6" w:hRule="atLeast"/>
          <w:jc w:val="center"/>
        </w:trPr>
        <w:tc>
          <w:tcPr>
            <w:tcW w:w="514" w:type="pct"/>
            <w:vMerge w:val="restart"/>
            <w:noWrap w:val="0"/>
            <w:vAlign w:val="center"/>
          </w:tcPr>
          <w:p w14:paraId="4E33F788">
            <w:pPr>
              <w:pStyle w:val="5"/>
              <w:keepNext w:val="0"/>
              <w:keepLines w:val="0"/>
              <w:pageBreakBefore w:val="0"/>
              <w:kinsoku/>
              <w:wordWrap/>
              <w:topLinePunct w:val="0"/>
              <w:bidi w:val="0"/>
              <w:spacing w:line="240" w:lineRule="auto"/>
              <w:ind w:firstLine="0"/>
              <w:jc w:val="both"/>
              <w:rPr>
                <w:rFonts w:hint="eastAsia" w:ascii="宋体" w:hAnsi="宋体" w:eastAsia="宋体" w:cs="宋体"/>
                <w:sz w:val="21"/>
                <w:szCs w:val="21"/>
                <w:lang w:val="en-US" w:eastAsia="zh-CN"/>
              </w:rPr>
            </w:pPr>
            <w:r>
              <w:rPr>
                <w:rFonts w:hint="eastAsia" w:ascii="宋体" w:hAnsi="宋体" w:eastAsia="宋体" w:cs="宋体"/>
                <w:b/>
                <w:sz w:val="21"/>
                <w:szCs w:val="21"/>
                <w:highlight w:val="none"/>
                <w:lang w:eastAsia="zh-CN"/>
              </w:rPr>
              <w:t>商务部分</w:t>
            </w:r>
          </w:p>
        </w:tc>
        <w:tc>
          <w:tcPr>
            <w:tcW w:w="565" w:type="pct"/>
            <w:vMerge w:val="restart"/>
            <w:noWrap w:val="0"/>
            <w:vAlign w:val="center"/>
          </w:tcPr>
          <w:p w14:paraId="08221443">
            <w:pPr>
              <w:pStyle w:val="5"/>
              <w:keepNext w:val="0"/>
              <w:keepLines w:val="0"/>
              <w:pageBreakBefore w:val="0"/>
              <w:kinsoku/>
              <w:wordWrap/>
              <w:topLinePunct w:val="0"/>
              <w:bidi w:val="0"/>
              <w:spacing w:line="240" w:lineRule="auto"/>
              <w:ind w:firstLine="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20分</w:t>
            </w:r>
          </w:p>
        </w:tc>
        <w:tc>
          <w:tcPr>
            <w:tcW w:w="646" w:type="pct"/>
            <w:noWrap w:val="0"/>
            <w:vAlign w:val="center"/>
          </w:tcPr>
          <w:p w14:paraId="789B66D8">
            <w:pPr>
              <w:keepNext w:val="0"/>
              <w:keepLines w:val="0"/>
              <w:pageBreakBefore w:val="0"/>
              <w:kinsoku/>
              <w:wordWrap/>
              <w:topLinePunct w:val="0"/>
              <w:bidi w:val="0"/>
              <w:spacing w:line="240" w:lineRule="auto"/>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响应业绩</w:t>
            </w:r>
          </w:p>
          <w:p w14:paraId="4058E0C2">
            <w:pPr>
              <w:keepNext w:val="0"/>
              <w:keepLines w:val="0"/>
              <w:pageBreakBefore w:val="0"/>
              <w:kinsoku/>
              <w:wordWrap/>
              <w:topLinePunct w:val="0"/>
              <w:bidi w:val="0"/>
              <w:spacing w:line="240" w:lineRule="auto"/>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（8分）</w:t>
            </w:r>
          </w:p>
        </w:tc>
        <w:tc>
          <w:tcPr>
            <w:tcW w:w="3273" w:type="pct"/>
            <w:gridSpan w:val="2"/>
            <w:noWrap w:val="0"/>
            <w:vAlign w:val="center"/>
          </w:tcPr>
          <w:p w14:paraId="6BBEBCD8">
            <w:pPr>
              <w:pStyle w:val="12"/>
              <w:spacing w:line="240" w:lineRule="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zh-CN" w:eastAsia="zh-CN" w:bidi="ar-SA"/>
              </w:rPr>
              <w:t>需提供 202</w:t>
            </w:r>
            <w:r>
              <w:rPr>
                <w:rFonts w:hint="eastAsia" w:ascii="宋体" w:hAnsi="宋体" w:eastAsia="宋体" w:cs="宋体"/>
                <w:color w:val="000000"/>
                <w:kern w:val="2"/>
                <w:sz w:val="21"/>
                <w:szCs w:val="21"/>
                <w:highlight w:val="none"/>
                <w:lang w:val="en-US" w:eastAsia="zh-CN" w:bidi="ar-SA"/>
              </w:rPr>
              <w:t>3</w:t>
            </w:r>
            <w:r>
              <w:rPr>
                <w:rFonts w:hint="eastAsia" w:ascii="宋体" w:hAnsi="宋体" w:eastAsia="宋体" w:cs="宋体"/>
                <w:color w:val="000000"/>
                <w:kern w:val="2"/>
                <w:sz w:val="21"/>
                <w:szCs w:val="21"/>
                <w:highlight w:val="none"/>
                <w:lang w:val="zh-CN" w:eastAsia="zh-CN" w:bidi="ar-SA"/>
              </w:rPr>
              <w:t xml:space="preserve"> 年</w:t>
            </w:r>
            <w:r>
              <w:rPr>
                <w:rFonts w:hint="eastAsia" w:ascii="宋体" w:hAnsi="宋体" w:eastAsia="宋体" w:cs="宋体"/>
                <w:color w:val="000000"/>
                <w:kern w:val="2"/>
                <w:sz w:val="21"/>
                <w:szCs w:val="21"/>
                <w:highlight w:val="none"/>
                <w:lang w:val="en-US" w:eastAsia="zh-CN" w:bidi="ar-SA"/>
              </w:rPr>
              <w:t>10</w:t>
            </w:r>
            <w:r>
              <w:rPr>
                <w:rFonts w:hint="eastAsia" w:ascii="宋体" w:hAnsi="宋体" w:eastAsia="宋体" w:cs="宋体"/>
                <w:color w:val="000000"/>
                <w:kern w:val="2"/>
                <w:sz w:val="21"/>
                <w:szCs w:val="21"/>
                <w:highlight w:val="none"/>
                <w:lang w:val="zh-CN" w:eastAsia="zh-CN" w:bidi="ar-SA"/>
              </w:rPr>
              <w:t xml:space="preserve"> 月 1 日至今类似燃气</w:t>
            </w:r>
            <w:r>
              <w:rPr>
                <w:rFonts w:hint="eastAsia" w:ascii="宋体" w:hAnsi="宋体" w:eastAsia="宋体" w:cs="宋体"/>
                <w:color w:val="000000"/>
                <w:kern w:val="2"/>
                <w:sz w:val="21"/>
                <w:szCs w:val="21"/>
                <w:highlight w:val="none"/>
                <w:lang w:val="en-US" w:eastAsia="zh-CN" w:bidi="ar-SA"/>
              </w:rPr>
              <w:t>蒸汽发生器（燃气蒸汽机）</w:t>
            </w:r>
            <w:r>
              <w:rPr>
                <w:rFonts w:hint="eastAsia" w:ascii="宋体" w:hAnsi="宋体" w:eastAsia="宋体" w:cs="宋体"/>
                <w:color w:val="000000"/>
                <w:kern w:val="2"/>
                <w:sz w:val="21"/>
                <w:szCs w:val="21"/>
                <w:highlight w:val="none"/>
                <w:lang w:val="zh-CN" w:eastAsia="zh-CN" w:bidi="ar-SA"/>
              </w:rPr>
              <w:t>业绩，每有一项得</w:t>
            </w:r>
            <w:r>
              <w:rPr>
                <w:rFonts w:hint="eastAsia" w:ascii="宋体" w:hAnsi="宋体" w:eastAsia="宋体" w:cs="宋体"/>
                <w:color w:val="000000"/>
                <w:kern w:val="2"/>
                <w:sz w:val="21"/>
                <w:szCs w:val="21"/>
                <w:highlight w:val="none"/>
                <w:lang w:val="en-US" w:eastAsia="zh-CN" w:bidi="ar-SA"/>
              </w:rPr>
              <w:t>4</w:t>
            </w:r>
            <w:r>
              <w:rPr>
                <w:rFonts w:hint="eastAsia" w:ascii="宋体" w:hAnsi="宋体" w:eastAsia="宋体" w:cs="宋体"/>
                <w:color w:val="000000"/>
                <w:kern w:val="2"/>
                <w:sz w:val="21"/>
                <w:szCs w:val="21"/>
                <w:highlight w:val="none"/>
                <w:lang w:val="zh-CN" w:eastAsia="zh-CN" w:bidi="ar-SA"/>
              </w:rPr>
              <w:t>分，最多得</w:t>
            </w:r>
            <w:r>
              <w:rPr>
                <w:rFonts w:hint="eastAsia" w:ascii="宋体" w:hAnsi="宋体" w:eastAsia="宋体" w:cs="宋体"/>
                <w:color w:val="000000"/>
                <w:kern w:val="2"/>
                <w:sz w:val="21"/>
                <w:szCs w:val="21"/>
                <w:highlight w:val="none"/>
                <w:lang w:val="en-US" w:eastAsia="zh-CN" w:bidi="ar-SA"/>
              </w:rPr>
              <w:t>8</w:t>
            </w:r>
            <w:r>
              <w:rPr>
                <w:rFonts w:hint="eastAsia" w:ascii="宋体" w:hAnsi="宋体" w:eastAsia="宋体" w:cs="宋体"/>
                <w:color w:val="000000"/>
                <w:kern w:val="2"/>
                <w:sz w:val="21"/>
                <w:szCs w:val="21"/>
                <w:highlight w:val="none"/>
                <w:lang w:val="zh-CN" w:eastAsia="zh-CN" w:bidi="ar-SA"/>
              </w:rPr>
              <w:t>分，投标文件中附中标（成交）通知书（以发出日期为准）或合同（以合同签订日期为准）扫描件并加盖投标人公章，不清晰无法识别或不提供不得分。</w:t>
            </w:r>
          </w:p>
        </w:tc>
      </w:tr>
      <w:tr w14:paraId="36110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jc w:val="center"/>
        </w:trPr>
        <w:tc>
          <w:tcPr>
            <w:tcW w:w="514" w:type="pct"/>
            <w:vMerge w:val="continue"/>
            <w:noWrap w:val="0"/>
            <w:vAlign w:val="center"/>
          </w:tcPr>
          <w:p w14:paraId="21EAC4DC">
            <w:pPr>
              <w:pStyle w:val="5"/>
              <w:keepNext w:val="0"/>
              <w:keepLines w:val="0"/>
              <w:pageBreakBefore w:val="0"/>
              <w:kinsoku/>
              <w:wordWrap/>
              <w:topLinePunct w:val="0"/>
              <w:bidi w:val="0"/>
              <w:spacing w:line="240" w:lineRule="auto"/>
              <w:ind w:firstLine="0"/>
              <w:jc w:val="center"/>
              <w:rPr>
                <w:rFonts w:hint="eastAsia" w:ascii="宋体" w:hAnsi="宋体" w:eastAsia="宋体" w:cs="宋体"/>
                <w:b/>
                <w:sz w:val="21"/>
                <w:szCs w:val="21"/>
              </w:rPr>
            </w:pPr>
          </w:p>
        </w:tc>
        <w:tc>
          <w:tcPr>
            <w:tcW w:w="565" w:type="pct"/>
            <w:vMerge w:val="continue"/>
            <w:noWrap w:val="0"/>
            <w:vAlign w:val="center"/>
          </w:tcPr>
          <w:p w14:paraId="2CDF8C22">
            <w:pPr>
              <w:pStyle w:val="5"/>
              <w:keepNext w:val="0"/>
              <w:keepLines w:val="0"/>
              <w:pageBreakBefore w:val="0"/>
              <w:kinsoku/>
              <w:wordWrap/>
              <w:topLinePunct w:val="0"/>
              <w:bidi w:val="0"/>
              <w:spacing w:line="240" w:lineRule="auto"/>
              <w:ind w:firstLine="0"/>
              <w:jc w:val="center"/>
              <w:rPr>
                <w:rFonts w:hint="eastAsia" w:ascii="宋体" w:hAnsi="宋体" w:eastAsia="宋体" w:cs="宋体"/>
                <w:b/>
                <w:sz w:val="21"/>
                <w:szCs w:val="21"/>
                <w:highlight w:val="none"/>
                <w:lang w:val="en-US" w:eastAsia="zh-CN"/>
              </w:rPr>
            </w:pPr>
          </w:p>
        </w:tc>
        <w:tc>
          <w:tcPr>
            <w:tcW w:w="646" w:type="pct"/>
            <w:noWrap w:val="0"/>
            <w:vAlign w:val="center"/>
          </w:tcPr>
          <w:p w14:paraId="111EB38A">
            <w:pPr>
              <w:spacing w:line="360" w:lineRule="auto"/>
              <w:jc w:val="center"/>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售后服务</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12</w:t>
            </w:r>
            <w:r>
              <w:rPr>
                <w:rFonts w:hint="eastAsia" w:ascii="宋体" w:hAnsi="宋体" w:eastAsia="宋体" w:cs="宋体"/>
                <w:kern w:val="0"/>
                <w:sz w:val="21"/>
                <w:szCs w:val="21"/>
              </w:rPr>
              <w:t>分）</w:t>
            </w:r>
          </w:p>
          <w:p w14:paraId="7B12F065">
            <w:pPr>
              <w:spacing w:line="360" w:lineRule="auto"/>
              <w:jc w:val="center"/>
              <w:rPr>
                <w:rFonts w:hint="eastAsia" w:ascii="宋体" w:hAnsi="宋体" w:eastAsia="宋体" w:cs="宋体"/>
                <w:kern w:val="0"/>
                <w:sz w:val="21"/>
                <w:szCs w:val="21"/>
                <w:lang w:val="en-US" w:eastAsia="zh-CN" w:bidi="ar-SA"/>
              </w:rPr>
            </w:pPr>
          </w:p>
        </w:tc>
        <w:tc>
          <w:tcPr>
            <w:tcW w:w="3273" w:type="pct"/>
            <w:gridSpan w:val="2"/>
            <w:noWrap w:val="0"/>
            <w:vAlign w:val="center"/>
          </w:tcPr>
          <w:p w14:paraId="23D78B1D">
            <w:pPr>
              <w:pStyle w:val="12"/>
              <w:spacing w:line="240" w:lineRule="auto"/>
              <w:rPr>
                <w:rFonts w:hint="eastAsia" w:ascii="宋体" w:hAnsi="宋体" w:eastAsia="宋体" w:cs="宋体"/>
                <w:color w:val="000000"/>
                <w:kern w:val="2"/>
                <w:sz w:val="21"/>
                <w:szCs w:val="21"/>
                <w:highlight w:val="none"/>
                <w:lang w:val="zh-CN" w:eastAsia="zh-CN" w:bidi="ar-SA"/>
              </w:rPr>
            </w:pPr>
            <w:r>
              <w:rPr>
                <w:rFonts w:hint="eastAsia" w:ascii="宋体" w:hAnsi="宋体" w:eastAsia="宋体" w:cs="宋体"/>
                <w:color w:val="000000"/>
                <w:kern w:val="2"/>
                <w:sz w:val="21"/>
                <w:szCs w:val="21"/>
                <w:highlight w:val="none"/>
                <w:lang w:val="zh-CN" w:eastAsia="zh-CN" w:bidi="ar-SA"/>
              </w:rPr>
              <w:t>根据本项目的服务内容及服务要求，提供符合本项目实际要求的售后服务方案及售后服务承诺，包括但不限于：①售后服务人员配置方案；②售后</w:t>
            </w:r>
            <w:r>
              <w:rPr>
                <w:rFonts w:hint="eastAsia" w:ascii="宋体" w:hAnsi="宋体" w:eastAsia="宋体" w:cs="宋体"/>
                <w:color w:val="000000"/>
                <w:kern w:val="2"/>
                <w:sz w:val="21"/>
                <w:szCs w:val="21"/>
                <w:highlight w:val="none"/>
                <w:lang w:val="en-US" w:eastAsia="zh-CN" w:bidi="ar-SA"/>
              </w:rPr>
              <w:t>服务</w:t>
            </w:r>
            <w:r>
              <w:rPr>
                <w:rFonts w:hint="eastAsia" w:ascii="宋体" w:hAnsi="宋体" w:eastAsia="宋体" w:cs="宋体"/>
                <w:color w:val="000000"/>
                <w:kern w:val="2"/>
                <w:sz w:val="21"/>
                <w:szCs w:val="21"/>
                <w:highlight w:val="none"/>
                <w:lang w:val="zh-CN" w:eastAsia="zh-CN" w:bidi="ar-SA"/>
              </w:rPr>
              <w:t>响应时效；③</w:t>
            </w:r>
            <w:r>
              <w:rPr>
                <w:rFonts w:hint="eastAsia" w:ascii="宋体" w:hAnsi="宋体" w:eastAsia="宋体" w:cs="宋体"/>
                <w:color w:val="000000"/>
                <w:kern w:val="2"/>
                <w:sz w:val="21"/>
                <w:szCs w:val="21"/>
                <w:highlight w:val="none"/>
                <w:lang w:val="en-US" w:eastAsia="zh-CN" w:bidi="ar-SA"/>
              </w:rPr>
              <w:t>售后培训内容</w:t>
            </w:r>
            <w:r>
              <w:rPr>
                <w:rFonts w:hint="eastAsia" w:ascii="宋体" w:hAnsi="宋体" w:eastAsia="宋体" w:cs="宋体"/>
                <w:color w:val="000000"/>
                <w:kern w:val="2"/>
                <w:sz w:val="21"/>
                <w:szCs w:val="21"/>
                <w:highlight w:val="none"/>
                <w:lang w:val="zh-CN" w:eastAsia="zh-CN" w:bidi="ar-SA"/>
              </w:rPr>
              <w:t>；④设备故障问题解决方案及应急措施。</w:t>
            </w:r>
          </w:p>
          <w:p w14:paraId="21E8A28D">
            <w:pPr>
              <w:pStyle w:val="12"/>
              <w:spacing w:line="240" w:lineRule="auto"/>
              <w:rPr>
                <w:rFonts w:hint="eastAsia" w:ascii="宋体" w:hAnsi="宋体" w:eastAsia="宋体" w:cs="宋体"/>
                <w:color w:val="000000"/>
                <w:kern w:val="2"/>
                <w:sz w:val="21"/>
                <w:szCs w:val="21"/>
                <w:highlight w:val="none"/>
                <w:lang w:val="zh-CN" w:eastAsia="zh-CN" w:bidi="ar-SA"/>
              </w:rPr>
            </w:pPr>
            <w:r>
              <w:rPr>
                <w:rFonts w:hint="eastAsia" w:ascii="宋体" w:hAnsi="宋体" w:eastAsia="宋体" w:cs="宋体"/>
                <w:color w:val="000000"/>
                <w:kern w:val="2"/>
                <w:sz w:val="21"/>
                <w:szCs w:val="21"/>
                <w:highlight w:val="none"/>
                <w:lang w:val="zh-CN" w:eastAsia="zh-CN" w:bidi="ar-SA"/>
              </w:rPr>
              <w:t>以上内容，</w:t>
            </w:r>
            <w:r>
              <w:rPr>
                <w:rFonts w:hint="eastAsia" w:ascii="宋体" w:hAnsi="宋体" w:eastAsia="宋体" w:cs="宋体"/>
                <w:color w:val="000000"/>
                <w:kern w:val="2"/>
                <w:sz w:val="21"/>
                <w:szCs w:val="21"/>
                <w:highlight w:val="none"/>
                <w:lang w:val="en-US" w:eastAsia="zh-CN" w:bidi="ar-SA"/>
              </w:rPr>
              <w:t>提供方案者即得基础分8分。额外加分标准：</w:t>
            </w:r>
          </w:p>
          <w:p w14:paraId="0080AA32">
            <w:pPr>
              <w:pStyle w:val="12"/>
              <w:spacing w:line="240" w:lineRule="auto"/>
              <w:rPr>
                <w:rFonts w:hint="eastAsia" w:ascii="宋体" w:hAnsi="宋体" w:eastAsia="宋体" w:cs="宋体"/>
                <w:color w:val="000000"/>
                <w:kern w:val="2"/>
                <w:sz w:val="21"/>
                <w:szCs w:val="21"/>
                <w:highlight w:val="none"/>
                <w:lang w:val="zh-CN" w:eastAsia="zh-CN" w:bidi="ar-SA"/>
              </w:rPr>
            </w:pPr>
            <w:r>
              <w:rPr>
                <w:rFonts w:hint="eastAsia" w:ascii="宋体" w:hAnsi="宋体" w:eastAsia="宋体" w:cs="宋体"/>
                <w:color w:val="000000"/>
                <w:kern w:val="2"/>
                <w:sz w:val="21"/>
                <w:szCs w:val="21"/>
                <w:highlight w:val="none"/>
                <w:lang w:val="en-US" w:eastAsia="zh-CN" w:bidi="ar-SA"/>
              </w:rPr>
              <w:t>1、</w:t>
            </w:r>
            <w:r>
              <w:rPr>
                <w:rFonts w:hint="eastAsia" w:ascii="宋体" w:hAnsi="宋体" w:eastAsia="宋体" w:cs="宋体"/>
                <w:color w:val="000000"/>
                <w:kern w:val="2"/>
                <w:sz w:val="21"/>
                <w:szCs w:val="21"/>
                <w:highlight w:val="none"/>
                <w:lang w:val="zh-CN" w:eastAsia="zh-CN" w:bidi="ar-SA"/>
              </w:rPr>
              <w:t>方案完整细致、科学合理、逻辑缜密、内容具体，响应时间迅速及时，售后服务人员配备齐全，服务承诺具体到位的，完全满足采购需求的得</w:t>
            </w:r>
            <w:r>
              <w:rPr>
                <w:rFonts w:hint="eastAsia" w:ascii="宋体" w:hAnsi="宋体" w:eastAsia="宋体" w:cs="宋体"/>
                <w:color w:val="000000"/>
                <w:kern w:val="2"/>
                <w:sz w:val="21"/>
                <w:szCs w:val="21"/>
                <w:highlight w:val="none"/>
                <w:lang w:val="en-US" w:eastAsia="zh-CN" w:bidi="ar-SA"/>
              </w:rPr>
              <w:t>4</w:t>
            </w:r>
            <w:r>
              <w:rPr>
                <w:rFonts w:hint="eastAsia" w:ascii="宋体" w:hAnsi="宋体" w:eastAsia="宋体" w:cs="宋体"/>
                <w:color w:val="000000"/>
                <w:kern w:val="2"/>
                <w:sz w:val="21"/>
                <w:szCs w:val="21"/>
                <w:highlight w:val="none"/>
                <w:lang w:val="zh-CN" w:eastAsia="zh-CN" w:bidi="ar-SA"/>
              </w:rPr>
              <w:t>分；</w:t>
            </w:r>
          </w:p>
          <w:p w14:paraId="4FBF4CB4">
            <w:pPr>
              <w:pStyle w:val="12"/>
              <w:spacing w:line="240" w:lineRule="auto"/>
              <w:rPr>
                <w:rFonts w:hint="eastAsia" w:ascii="宋体" w:hAnsi="宋体" w:eastAsia="宋体" w:cs="宋体"/>
                <w:color w:val="000000"/>
                <w:kern w:val="2"/>
                <w:sz w:val="21"/>
                <w:szCs w:val="21"/>
                <w:highlight w:val="none"/>
                <w:lang w:val="zh-CN" w:eastAsia="zh-CN" w:bidi="ar-SA"/>
              </w:rPr>
            </w:pPr>
            <w:r>
              <w:rPr>
                <w:rFonts w:hint="eastAsia" w:ascii="宋体" w:hAnsi="宋体" w:eastAsia="宋体" w:cs="宋体"/>
                <w:color w:val="000000"/>
                <w:kern w:val="2"/>
                <w:sz w:val="21"/>
                <w:szCs w:val="21"/>
                <w:highlight w:val="none"/>
                <w:lang w:val="en-US" w:eastAsia="zh-CN" w:bidi="ar-SA"/>
              </w:rPr>
              <w:t>2、</w:t>
            </w:r>
            <w:r>
              <w:rPr>
                <w:rFonts w:hint="eastAsia" w:ascii="宋体" w:hAnsi="宋体" w:eastAsia="宋体" w:cs="宋体"/>
                <w:color w:val="000000"/>
                <w:kern w:val="2"/>
                <w:sz w:val="21"/>
                <w:szCs w:val="21"/>
                <w:highlight w:val="none"/>
                <w:lang w:val="zh-CN" w:eastAsia="zh-CN" w:bidi="ar-SA"/>
              </w:rPr>
              <w:t>方案全面合理、内容具体，响应时间迅速，售后服务人员配备齐全，人员配备合理，服务承诺具体，满足采购需求的得</w:t>
            </w:r>
            <w:r>
              <w:rPr>
                <w:rFonts w:hint="eastAsia" w:ascii="宋体" w:hAnsi="宋体" w:eastAsia="宋体" w:cs="宋体"/>
                <w:color w:val="000000"/>
                <w:kern w:val="2"/>
                <w:sz w:val="21"/>
                <w:szCs w:val="21"/>
                <w:highlight w:val="none"/>
                <w:lang w:val="en-US" w:eastAsia="zh-CN" w:bidi="ar-SA"/>
              </w:rPr>
              <w:t>3</w:t>
            </w:r>
            <w:r>
              <w:rPr>
                <w:rFonts w:hint="eastAsia" w:ascii="宋体" w:hAnsi="宋体" w:eastAsia="宋体" w:cs="宋体"/>
                <w:color w:val="000000"/>
                <w:kern w:val="2"/>
                <w:sz w:val="21"/>
                <w:szCs w:val="21"/>
                <w:highlight w:val="none"/>
                <w:lang w:val="zh-CN" w:eastAsia="zh-CN" w:bidi="ar-SA"/>
              </w:rPr>
              <w:t>分；</w:t>
            </w:r>
          </w:p>
          <w:p w14:paraId="48E3E2DD">
            <w:pPr>
              <w:pStyle w:val="12"/>
              <w:spacing w:line="240" w:lineRule="auto"/>
              <w:rPr>
                <w:rFonts w:hint="eastAsia" w:ascii="宋体" w:hAnsi="宋体" w:eastAsia="宋体" w:cs="宋体"/>
                <w:color w:val="000000"/>
                <w:kern w:val="2"/>
                <w:sz w:val="21"/>
                <w:szCs w:val="21"/>
                <w:highlight w:val="none"/>
                <w:lang w:val="zh-CN" w:eastAsia="zh-CN" w:bidi="ar-SA"/>
              </w:rPr>
            </w:pPr>
            <w:r>
              <w:rPr>
                <w:rFonts w:hint="eastAsia" w:ascii="宋体" w:hAnsi="宋体" w:eastAsia="宋体" w:cs="宋体"/>
                <w:color w:val="000000"/>
                <w:kern w:val="2"/>
                <w:sz w:val="21"/>
                <w:szCs w:val="21"/>
                <w:highlight w:val="none"/>
                <w:lang w:val="en-US" w:eastAsia="zh-CN" w:bidi="ar-SA"/>
              </w:rPr>
              <w:t>3、</w:t>
            </w:r>
            <w:r>
              <w:rPr>
                <w:rFonts w:hint="eastAsia" w:ascii="宋体" w:hAnsi="宋体" w:eastAsia="宋体" w:cs="宋体"/>
                <w:color w:val="000000"/>
                <w:kern w:val="2"/>
                <w:sz w:val="21"/>
                <w:szCs w:val="21"/>
                <w:highlight w:val="none"/>
                <w:lang w:val="zh-CN" w:eastAsia="zh-CN" w:bidi="ar-SA"/>
              </w:rPr>
              <w:t>方案合理，流程及内容完整，有人员配备，响应时间及时的得</w:t>
            </w:r>
            <w:r>
              <w:rPr>
                <w:rFonts w:hint="eastAsia" w:ascii="宋体" w:hAnsi="宋体" w:eastAsia="宋体" w:cs="宋体"/>
                <w:color w:val="000000"/>
                <w:kern w:val="2"/>
                <w:sz w:val="21"/>
                <w:szCs w:val="21"/>
                <w:highlight w:val="none"/>
                <w:lang w:val="en-US" w:eastAsia="zh-CN" w:bidi="ar-SA"/>
              </w:rPr>
              <w:t>2</w:t>
            </w:r>
            <w:r>
              <w:rPr>
                <w:rFonts w:hint="eastAsia" w:ascii="宋体" w:hAnsi="宋体" w:eastAsia="宋体" w:cs="宋体"/>
                <w:color w:val="000000"/>
                <w:kern w:val="2"/>
                <w:sz w:val="21"/>
                <w:szCs w:val="21"/>
                <w:highlight w:val="none"/>
                <w:lang w:val="zh-CN" w:eastAsia="zh-CN" w:bidi="ar-SA"/>
              </w:rPr>
              <w:t>分；</w:t>
            </w:r>
          </w:p>
          <w:p w14:paraId="48822048">
            <w:pPr>
              <w:pStyle w:val="12"/>
              <w:spacing w:line="240" w:lineRule="auto"/>
              <w:rPr>
                <w:rFonts w:hint="eastAsia" w:ascii="宋体" w:hAnsi="宋体" w:eastAsia="宋体" w:cs="宋体"/>
                <w:color w:val="000000"/>
                <w:kern w:val="2"/>
                <w:sz w:val="21"/>
                <w:szCs w:val="21"/>
                <w:highlight w:val="none"/>
                <w:lang w:val="zh-CN" w:eastAsia="zh-CN" w:bidi="ar-SA"/>
              </w:rPr>
            </w:pPr>
            <w:r>
              <w:rPr>
                <w:rFonts w:hint="eastAsia" w:ascii="宋体" w:hAnsi="宋体" w:eastAsia="宋体" w:cs="宋体"/>
                <w:color w:val="000000"/>
                <w:kern w:val="2"/>
                <w:sz w:val="21"/>
                <w:szCs w:val="21"/>
                <w:highlight w:val="none"/>
                <w:lang w:val="en-US" w:eastAsia="zh-CN" w:bidi="ar-SA"/>
              </w:rPr>
              <w:t>4、</w:t>
            </w:r>
            <w:r>
              <w:rPr>
                <w:rFonts w:hint="eastAsia" w:ascii="宋体" w:hAnsi="宋体" w:eastAsia="宋体" w:cs="宋体"/>
                <w:color w:val="000000"/>
                <w:kern w:val="2"/>
                <w:sz w:val="21"/>
                <w:szCs w:val="21"/>
                <w:highlight w:val="none"/>
                <w:lang w:val="zh-CN" w:eastAsia="zh-CN" w:bidi="ar-SA"/>
              </w:rPr>
              <w:t>方案内容有缺失，响应时间缓慢，人员配备不合理的得</w:t>
            </w:r>
            <w:r>
              <w:rPr>
                <w:rFonts w:hint="eastAsia" w:ascii="宋体" w:hAnsi="宋体" w:eastAsia="宋体" w:cs="宋体"/>
                <w:color w:val="000000"/>
                <w:kern w:val="2"/>
                <w:sz w:val="21"/>
                <w:szCs w:val="21"/>
                <w:highlight w:val="none"/>
                <w:lang w:val="en-US" w:eastAsia="zh-CN" w:bidi="ar-SA"/>
              </w:rPr>
              <w:t>1</w:t>
            </w:r>
            <w:r>
              <w:rPr>
                <w:rFonts w:hint="eastAsia" w:ascii="宋体" w:hAnsi="宋体" w:eastAsia="宋体" w:cs="宋体"/>
                <w:color w:val="000000"/>
                <w:kern w:val="2"/>
                <w:sz w:val="21"/>
                <w:szCs w:val="21"/>
                <w:highlight w:val="none"/>
                <w:lang w:val="zh-CN" w:eastAsia="zh-CN" w:bidi="ar-SA"/>
              </w:rPr>
              <w:t>分；</w:t>
            </w:r>
          </w:p>
          <w:p w14:paraId="526A7827">
            <w:pPr>
              <w:pStyle w:val="12"/>
              <w:spacing w:line="240" w:lineRule="auto"/>
              <w:rPr>
                <w:rFonts w:hint="eastAsia" w:ascii="宋体" w:hAnsi="宋体" w:eastAsia="宋体" w:cs="宋体"/>
                <w:kern w:val="2"/>
                <w:sz w:val="21"/>
                <w:szCs w:val="21"/>
                <w:lang w:val="en-US" w:eastAsia="zh-CN" w:bidi="ar-SA"/>
              </w:rPr>
            </w:pPr>
            <w:r>
              <w:rPr>
                <w:rFonts w:hint="eastAsia" w:ascii="宋体" w:hAnsi="宋体" w:eastAsia="宋体" w:cs="宋体"/>
                <w:color w:val="000000"/>
                <w:kern w:val="2"/>
                <w:sz w:val="21"/>
                <w:szCs w:val="21"/>
                <w:highlight w:val="none"/>
                <w:lang w:val="en-US" w:eastAsia="zh-CN" w:bidi="ar-SA"/>
              </w:rPr>
              <w:t>5、</w:t>
            </w:r>
            <w:r>
              <w:rPr>
                <w:rFonts w:hint="eastAsia" w:ascii="宋体" w:hAnsi="宋体" w:eastAsia="宋体" w:cs="宋体"/>
                <w:color w:val="000000"/>
                <w:kern w:val="2"/>
                <w:sz w:val="21"/>
                <w:szCs w:val="21"/>
                <w:highlight w:val="none"/>
                <w:lang w:val="zh-CN" w:eastAsia="zh-CN" w:bidi="ar-SA"/>
              </w:rPr>
              <w:t>未提供方案的不得分。</w:t>
            </w:r>
          </w:p>
        </w:tc>
      </w:tr>
    </w:tbl>
    <w:p w14:paraId="7D1DE86A">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75D6D9BB">
      <w:pPr>
        <w:pageBreakBefore w:val="0"/>
        <w:numPr>
          <w:ilvl w:val="0"/>
          <w:numId w:val="0"/>
        </w:numPr>
        <w:wordWrap w:val="0"/>
        <w:autoSpaceDE/>
        <w:autoSpaceDN/>
        <w:bidi w:val="0"/>
        <w:snapToGrid/>
        <w:spacing w:line="360" w:lineRule="auto"/>
        <w:ind w:left="0" w:right="0" w:firstLine="0"/>
        <w:jc w:val="center"/>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443F721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B219E9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7C21F4B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5102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E3500F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59CB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12D7F37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2DC5252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1F8875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057162B">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853EC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216C2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9B022D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FB14AB2">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8E5725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E287DA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714E176">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EEF6AF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692F9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2A68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9"/>
      </w:pPr>
    </w:p>
    <w:p w14:paraId="3132B795"/>
    <w:p w14:paraId="0A576042">
      <w:pPr>
        <w:pStyle w:val="9"/>
      </w:pPr>
    </w:p>
    <w:p w14:paraId="6DC81925"/>
    <w:p w14:paraId="73950FA8">
      <w:pPr>
        <w:pStyle w:val="9"/>
      </w:pPr>
    </w:p>
    <w:p w14:paraId="3D3ADE1E"/>
    <w:p w14:paraId="3EA602B9">
      <w:pPr>
        <w:pStyle w:val="9"/>
      </w:pPr>
    </w:p>
    <w:p w14:paraId="1C2369B1"/>
    <w:p w14:paraId="3D46A060">
      <w:pPr>
        <w:pStyle w:val="9"/>
      </w:pPr>
    </w:p>
    <w:p w14:paraId="0941FFCE"/>
    <w:p w14:paraId="46CE1A36">
      <w:pPr>
        <w:pStyle w:val="9"/>
      </w:pPr>
    </w:p>
    <w:p w14:paraId="2D3AA324"/>
    <w:p w14:paraId="5C50B345">
      <w:pPr>
        <w:pStyle w:val="9"/>
      </w:pPr>
    </w:p>
    <w:p w14:paraId="1C24A7AD"/>
    <w:p w14:paraId="38F03B4E">
      <w:pPr>
        <w:pStyle w:val="9"/>
      </w:pPr>
    </w:p>
    <w:p w14:paraId="5AB51ED1"/>
    <w:p w14:paraId="6F67E51F">
      <w:pPr>
        <w:pStyle w:val="9"/>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响应</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2E08354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71112F7B">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十四、</w:t>
      </w:r>
      <w:r>
        <w:rPr>
          <w:rFonts w:hint="eastAsia" w:ascii="宋体" w:hAnsi="宋体" w:eastAsia="宋体" w:cs="宋体"/>
          <w:b w:val="0"/>
          <w:color w:val="000000"/>
          <w:sz w:val="24"/>
          <w:szCs w:val="24"/>
          <w:lang w:val="en-US" w:eastAsia="zh-CN"/>
        </w:rPr>
        <w:t>综合评审表各项响应内容</w:t>
      </w:r>
      <w:r>
        <w:rPr>
          <w:rFonts w:ascii="宋体" w:hAnsi="宋体" w:eastAsia="宋体" w:cs="宋体"/>
          <w:b w:val="0"/>
          <w:color w:val="000000"/>
          <w:sz w:val="24"/>
          <w:szCs w:val="24"/>
        </w:rPr>
        <w:t>........................................</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十五、其它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63F3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2D9732A">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03D641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287F6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CDFEC5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2364D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970CEE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6"/>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6"/>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84"/>
        <w:gridCol w:w="2520"/>
        <w:gridCol w:w="2018"/>
      </w:tblGrid>
      <w:tr w14:paraId="7FD8C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84"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520" w:type="dxa"/>
            <w:vAlign w:val="center"/>
          </w:tcPr>
          <w:p w14:paraId="47F97C8D">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交付使用时间</w:t>
            </w:r>
          </w:p>
        </w:tc>
        <w:tc>
          <w:tcPr>
            <w:tcW w:w="2018" w:type="dxa"/>
            <w:vAlign w:val="center"/>
          </w:tcPr>
          <w:p w14:paraId="7281713E">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质保期（年）</w:t>
            </w:r>
          </w:p>
        </w:tc>
      </w:tr>
      <w:tr w14:paraId="5993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4" w:hRule="atLeast"/>
        </w:trPr>
        <w:tc>
          <w:tcPr>
            <w:tcW w:w="3984"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520" w:type="dxa"/>
            <w:vMerge w:val="restart"/>
            <w:vAlign w:val="center"/>
          </w:tcPr>
          <w:p w14:paraId="33073698">
            <w:pPr>
              <w:spacing w:line="360" w:lineRule="auto"/>
              <w:jc w:val="center"/>
              <w:rPr>
                <w:rFonts w:hint="eastAsia" w:ascii="宋体" w:hAnsi="宋体" w:eastAsia="宋体" w:cs="宋体"/>
                <w:b w:val="0"/>
                <w:color w:val="000000"/>
                <w:sz w:val="24"/>
                <w:szCs w:val="24"/>
                <w:lang w:val="en-US" w:eastAsia="zh-CN" w:bidi="ar-SA"/>
              </w:rPr>
            </w:pPr>
          </w:p>
        </w:tc>
        <w:tc>
          <w:tcPr>
            <w:tcW w:w="2018"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r>
      <w:tr w14:paraId="33E6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9" w:hRule="atLeast"/>
        </w:trPr>
        <w:tc>
          <w:tcPr>
            <w:tcW w:w="3984"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520" w:type="dxa"/>
            <w:vMerge w:val="continue"/>
            <w:vAlign w:val="center"/>
          </w:tcPr>
          <w:p w14:paraId="79C0107F"/>
        </w:tc>
        <w:tc>
          <w:tcPr>
            <w:tcW w:w="2018" w:type="dxa"/>
            <w:vMerge w:val="continue"/>
            <w:vAlign w:val="center"/>
          </w:tcPr>
          <w:p w14:paraId="3E61E7D2"/>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0E5E7F0D">
      <w:pPr>
        <w:spacing w:line="360" w:lineRule="auto"/>
        <w:rPr>
          <w:rFonts w:hint="eastAsia" w:asciiTheme="majorHAnsi" w:hAnsiTheme="majorHAnsi" w:eastAsiaTheme="majorEastAsia" w:cstheme="minorBidi"/>
          <w:b/>
          <w:color w:val="000000"/>
          <w:sz w:val="32"/>
          <w:szCs w:val="32"/>
          <w:lang w:val="en-US" w:eastAsia="zh-CN" w:bidi="ar-SA"/>
        </w:rPr>
      </w:pPr>
    </w:p>
    <w:p w14:paraId="5D0517F9">
      <w:pPr>
        <w:spacing w:line="360" w:lineRule="auto"/>
        <w:rPr>
          <w:rFonts w:hint="eastAsia" w:ascii="宋体" w:hAnsi="宋体" w:eastAsia="宋体" w:cs="宋体"/>
          <w:b/>
          <w:color w:val="000000"/>
          <w:sz w:val="32"/>
          <w:szCs w:val="32"/>
          <w:lang w:val="en-US" w:eastAsia="zh-CN" w:bidi="ar-SA"/>
        </w:rPr>
      </w:pPr>
      <w:r>
        <w:rPr>
          <w:rFonts w:hint="eastAsia" w:ascii="宋体" w:hAnsi="宋体" w:eastAsia="宋体" w:cs="宋体"/>
          <w:b/>
          <w:color w:val="000000"/>
          <w:sz w:val="32"/>
          <w:szCs w:val="32"/>
          <w:lang w:val="en-US" w:eastAsia="zh-CN" w:bidi="ar-SA"/>
        </w:rPr>
        <w:t>分项报价表</w:t>
      </w:r>
    </w:p>
    <w:p w14:paraId="25AF33AE">
      <w:pPr>
        <w:rPr>
          <w:rFonts w:ascii="宋体" w:hAnsi="宋体" w:eastAsia="宋体"/>
          <w:sz w:val="24"/>
          <w:szCs w:val="24"/>
          <w:lang w:val="zh-CN"/>
        </w:rPr>
      </w:pPr>
    </w:p>
    <w:p w14:paraId="713A4E43">
      <w:pPr>
        <w:rPr>
          <w:rFonts w:ascii="宋体" w:hAnsi="宋体" w:eastAsia="宋体"/>
          <w:sz w:val="24"/>
          <w:szCs w:val="24"/>
          <w:lang w:val="zh-CN"/>
        </w:rPr>
      </w:pPr>
    </w:p>
    <w:p w14:paraId="31570F2A">
      <w:pPr>
        <w:rPr>
          <w:rFonts w:ascii="宋体" w:hAnsi="宋体" w:eastAsia="宋体"/>
          <w:sz w:val="24"/>
          <w:szCs w:val="24"/>
          <w:lang w:val="zh-CN"/>
        </w:rPr>
      </w:pPr>
    </w:p>
    <w:p w14:paraId="3E3DCA0A">
      <w:pPr>
        <w:rPr>
          <w:rFonts w:ascii="宋体" w:hAnsi="宋体" w:eastAsia="宋体"/>
          <w:sz w:val="24"/>
          <w:szCs w:val="24"/>
          <w:lang w:val="zh-CN"/>
        </w:rPr>
      </w:pPr>
    </w:p>
    <w:p w14:paraId="4410E24D">
      <w:pPr>
        <w:rPr>
          <w:rFonts w:ascii="宋体" w:hAnsi="宋体" w:eastAsia="宋体"/>
          <w:sz w:val="24"/>
          <w:szCs w:val="24"/>
          <w:lang w:val="zh-CN"/>
        </w:rPr>
      </w:pPr>
    </w:p>
    <w:p w14:paraId="60F02A10">
      <w:pPr>
        <w:rPr>
          <w:rFonts w:ascii="宋体" w:hAnsi="宋体" w:eastAsia="宋体"/>
          <w:sz w:val="24"/>
          <w:szCs w:val="24"/>
          <w:lang w:val="zh-CN"/>
        </w:rPr>
      </w:pPr>
    </w:p>
    <w:p w14:paraId="67CF1CF8">
      <w:pPr>
        <w:rPr>
          <w:rFonts w:ascii="宋体" w:hAnsi="宋体" w:eastAsia="宋体"/>
          <w:sz w:val="24"/>
          <w:szCs w:val="24"/>
          <w:lang w:val="zh-CN"/>
        </w:rPr>
      </w:pPr>
    </w:p>
    <w:p w14:paraId="6EA4369B">
      <w:pPr>
        <w:rPr>
          <w:rFonts w:ascii="宋体" w:hAnsi="宋体" w:eastAsia="宋体"/>
          <w:sz w:val="24"/>
          <w:szCs w:val="24"/>
          <w:lang w:val="zh-CN"/>
        </w:rPr>
      </w:pPr>
    </w:p>
    <w:p w14:paraId="00642FF3">
      <w:pPr>
        <w:rPr>
          <w:rFonts w:ascii="宋体" w:hAnsi="宋体" w:eastAsia="宋体"/>
          <w:sz w:val="24"/>
          <w:szCs w:val="24"/>
          <w:lang w:val="zh-CN"/>
        </w:rPr>
      </w:pPr>
    </w:p>
    <w:p w14:paraId="169E8CE5">
      <w:pPr>
        <w:rPr>
          <w:rFonts w:ascii="宋体" w:hAnsi="宋体" w:eastAsia="宋体"/>
          <w:sz w:val="24"/>
          <w:szCs w:val="24"/>
          <w:lang w:val="zh-CN"/>
        </w:rPr>
      </w:pPr>
    </w:p>
    <w:p w14:paraId="2FB350CE">
      <w:pPr>
        <w:rPr>
          <w:rFonts w:ascii="宋体" w:hAnsi="宋体" w:eastAsia="宋体"/>
          <w:sz w:val="24"/>
          <w:szCs w:val="24"/>
          <w:lang w:val="zh-CN"/>
        </w:rPr>
      </w:pPr>
    </w:p>
    <w:p w14:paraId="72503B98">
      <w:pPr>
        <w:rPr>
          <w:rFonts w:ascii="宋体" w:hAnsi="宋体" w:eastAsia="宋体"/>
          <w:sz w:val="24"/>
          <w:szCs w:val="24"/>
          <w:lang w:val="zh-CN"/>
        </w:rPr>
      </w:pPr>
    </w:p>
    <w:p w14:paraId="1EEED8C1">
      <w:pPr>
        <w:rPr>
          <w:rFonts w:ascii="宋体" w:hAnsi="宋体" w:eastAsia="宋体"/>
          <w:sz w:val="24"/>
          <w:szCs w:val="24"/>
          <w:lang w:val="zh-CN"/>
        </w:rPr>
      </w:pPr>
    </w:p>
    <w:p w14:paraId="07764331">
      <w:pPr>
        <w:rPr>
          <w:rFonts w:ascii="宋体" w:hAnsi="宋体" w:eastAsia="宋体"/>
          <w:sz w:val="24"/>
          <w:szCs w:val="24"/>
          <w:lang w:val="zh-CN"/>
        </w:rPr>
      </w:pPr>
    </w:p>
    <w:p w14:paraId="202BAEDC">
      <w:pPr>
        <w:rPr>
          <w:rFonts w:ascii="宋体" w:hAnsi="宋体" w:eastAsia="宋体"/>
          <w:sz w:val="24"/>
          <w:szCs w:val="24"/>
          <w:lang w:val="zh-CN"/>
        </w:rPr>
      </w:pPr>
    </w:p>
    <w:p w14:paraId="1215F918">
      <w:pPr>
        <w:rPr>
          <w:rFonts w:ascii="宋体" w:hAnsi="宋体" w:eastAsia="宋体"/>
          <w:sz w:val="24"/>
          <w:szCs w:val="24"/>
          <w:lang w:val="zh-CN"/>
        </w:rPr>
      </w:pPr>
    </w:p>
    <w:p w14:paraId="3BF85B72">
      <w:pPr>
        <w:rPr>
          <w:rFonts w:ascii="宋体" w:hAnsi="宋体" w:eastAsia="宋体"/>
          <w:sz w:val="24"/>
          <w:szCs w:val="24"/>
          <w:lang w:val="zh-CN"/>
        </w:rPr>
      </w:pPr>
    </w:p>
    <w:p w14:paraId="4DA3D241">
      <w:pPr>
        <w:rPr>
          <w:rFonts w:ascii="宋体" w:hAnsi="宋体" w:eastAsia="宋体"/>
          <w:sz w:val="24"/>
          <w:szCs w:val="24"/>
          <w:lang w:val="zh-CN"/>
        </w:rPr>
      </w:pPr>
    </w:p>
    <w:p w14:paraId="0AB111D0">
      <w:pPr>
        <w:rPr>
          <w:rFonts w:ascii="宋体" w:hAnsi="宋体" w:eastAsia="宋体"/>
          <w:sz w:val="24"/>
          <w:szCs w:val="24"/>
          <w:lang w:val="zh-CN"/>
        </w:rPr>
      </w:pPr>
    </w:p>
    <w:p w14:paraId="26994921">
      <w:pPr>
        <w:rPr>
          <w:rFonts w:ascii="宋体" w:hAnsi="宋体" w:eastAsia="宋体"/>
          <w:sz w:val="24"/>
          <w:szCs w:val="24"/>
          <w:lang w:val="zh-CN"/>
        </w:rPr>
      </w:pPr>
    </w:p>
    <w:p w14:paraId="0A2D05ED">
      <w:pPr>
        <w:rPr>
          <w:rFonts w:ascii="宋体" w:hAnsi="宋体" w:eastAsia="宋体"/>
          <w:sz w:val="24"/>
          <w:szCs w:val="24"/>
          <w:lang w:val="zh-CN"/>
        </w:rPr>
      </w:pPr>
    </w:p>
    <w:p w14:paraId="556E3B3E">
      <w:pPr>
        <w:rPr>
          <w:rFonts w:ascii="宋体" w:hAnsi="宋体" w:eastAsia="宋体"/>
          <w:sz w:val="24"/>
          <w:szCs w:val="24"/>
          <w:lang w:val="zh-CN"/>
        </w:rPr>
      </w:pPr>
    </w:p>
    <w:p w14:paraId="1063071A">
      <w:pPr>
        <w:rPr>
          <w:rFonts w:ascii="宋体" w:hAnsi="宋体" w:eastAsia="宋体"/>
          <w:sz w:val="24"/>
          <w:szCs w:val="24"/>
          <w:lang w:val="zh-CN"/>
        </w:rPr>
      </w:pPr>
    </w:p>
    <w:p w14:paraId="7A162C34">
      <w:pPr>
        <w:rPr>
          <w:rFonts w:ascii="宋体" w:hAnsi="宋体" w:eastAsia="宋体"/>
          <w:sz w:val="24"/>
          <w:szCs w:val="24"/>
          <w:lang w:val="zh-CN"/>
        </w:rPr>
      </w:pPr>
    </w:p>
    <w:p w14:paraId="7D7F465B">
      <w:pPr>
        <w:rPr>
          <w:rFonts w:ascii="宋体" w:hAnsi="宋体" w:eastAsia="宋体"/>
          <w:sz w:val="24"/>
          <w:szCs w:val="24"/>
          <w:lang w:val="zh-CN"/>
        </w:rPr>
      </w:pPr>
    </w:p>
    <w:p w14:paraId="36520E65">
      <w:pPr>
        <w:rPr>
          <w:rFonts w:ascii="宋体" w:hAnsi="宋体" w:eastAsia="宋体"/>
          <w:sz w:val="24"/>
          <w:szCs w:val="24"/>
          <w:lang w:val="zh-CN"/>
        </w:rPr>
      </w:pPr>
    </w:p>
    <w:p w14:paraId="721B31D9">
      <w:pPr>
        <w:rPr>
          <w:rFonts w:ascii="宋体" w:hAnsi="宋体" w:eastAsia="宋体"/>
          <w:sz w:val="24"/>
          <w:szCs w:val="24"/>
          <w:lang w:val="zh-CN"/>
        </w:rPr>
      </w:pPr>
    </w:p>
    <w:p w14:paraId="4EFC99B4">
      <w:pPr>
        <w:rPr>
          <w:rFonts w:ascii="宋体" w:hAnsi="宋体" w:eastAsia="宋体"/>
          <w:sz w:val="24"/>
          <w:szCs w:val="24"/>
          <w:lang w:val="zh-CN"/>
        </w:rPr>
      </w:pPr>
    </w:p>
    <w:p w14:paraId="785CDE95">
      <w:pPr>
        <w:rPr>
          <w:rFonts w:ascii="宋体" w:hAnsi="宋体" w:eastAsia="宋体"/>
          <w:sz w:val="24"/>
          <w:szCs w:val="24"/>
          <w:lang w:val="zh-CN"/>
        </w:rPr>
      </w:pPr>
    </w:p>
    <w:p w14:paraId="70B6F116">
      <w:pPr>
        <w:rPr>
          <w:rFonts w:ascii="宋体" w:hAnsi="宋体" w:eastAsia="宋体"/>
          <w:sz w:val="24"/>
          <w:szCs w:val="24"/>
          <w:lang w:val="zh-CN"/>
        </w:rPr>
      </w:pPr>
    </w:p>
    <w:p w14:paraId="1CE843C0">
      <w:pPr>
        <w:rPr>
          <w:rFonts w:ascii="宋体" w:hAnsi="宋体" w:eastAsia="宋体"/>
          <w:sz w:val="24"/>
          <w:szCs w:val="24"/>
          <w:lang w:val="zh-CN"/>
        </w:rPr>
      </w:pPr>
    </w:p>
    <w:p w14:paraId="6319E4D8">
      <w:pPr>
        <w:rPr>
          <w:rFonts w:ascii="宋体" w:hAnsi="宋体" w:eastAsia="宋体"/>
          <w:sz w:val="24"/>
          <w:szCs w:val="24"/>
          <w:lang w:val="zh-CN"/>
        </w:rPr>
      </w:pPr>
    </w:p>
    <w:p w14:paraId="4FDE79C4">
      <w:pPr>
        <w:rPr>
          <w:rFonts w:ascii="宋体" w:hAnsi="宋体" w:eastAsia="宋体"/>
          <w:sz w:val="24"/>
          <w:szCs w:val="24"/>
          <w:lang w:val="zh-CN"/>
        </w:rPr>
      </w:pPr>
    </w:p>
    <w:p w14:paraId="2230D478">
      <w:pPr>
        <w:rPr>
          <w:rFonts w:ascii="宋体" w:hAnsi="宋体" w:eastAsia="宋体"/>
          <w:sz w:val="24"/>
          <w:szCs w:val="24"/>
          <w:lang w:val="zh-CN"/>
        </w:rPr>
      </w:pPr>
    </w:p>
    <w:p w14:paraId="0B8CEC06">
      <w:pPr>
        <w:rPr>
          <w:rFonts w:ascii="宋体" w:hAnsi="宋体" w:eastAsia="宋体"/>
          <w:sz w:val="24"/>
          <w:szCs w:val="24"/>
          <w:lang w:val="zh-CN"/>
        </w:rPr>
      </w:pPr>
    </w:p>
    <w:p w14:paraId="1D10AA9B">
      <w:pPr>
        <w:rPr>
          <w:rFonts w:ascii="宋体" w:hAnsi="宋体" w:eastAsia="宋体"/>
          <w:sz w:val="24"/>
          <w:szCs w:val="24"/>
          <w:lang w:val="zh-CN"/>
        </w:rPr>
      </w:pPr>
    </w:p>
    <w:p w14:paraId="3562A0CC">
      <w:pPr>
        <w:rPr>
          <w:rFonts w:ascii="宋体" w:hAnsi="宋体" w:eastAsia="宋体"/>
          <w:sz w:val="24"/>
          <w:szCs w:val="24"/>
          <w:lang w:val="zh-CN"/>
        </w:rPr>
      </w:pPr>
    </w:p>
    <w:p w14:paraId="30778C18">
      <w:pPr>
        <w:rPr>
          <w:rFonts w:ascii="宋体" w:hAnsi="宋体" w:eastAsia="宋体"/>
          <w:sz w:val="24"/>
          <w:szCs w:val="24"/>
          <w:lang w:val="zh-CN"/>
        </w:rPr>
      </w:pPr>
    </w:p>
    <w:p w14:paraId="3E537B92">
      <w:pPr>
        <w:rPr>
          <w:rFonts w:ascii="宋体" w:hAnsi="宋体" w:eastAsia="宋体"/>
          <w:sz w:val="24"/>
          <w:szCs w:val="24"/>
          <w:lang w:val="zh-CN"/>
        </w:rPr>
      </w:pPr>
    </w:p>
    <w:p w14:paraId="05BEDD49">
      <w:pPr>
        <w:rPr>
          <w:rFonts w:ascii="宋体" w:hAnsi="宋体" w:eastAsia="宋体"/>
          <w:sz w:val="24"/>
          <w:szCs w:val="24"/>
          <w:lang w:val="zh-CN"/>
        </w:rPr>
      </w:pPr>
    </w:p>
    <w:p w14:paraId="67D89C5A">
      <w:pPr>
        <w:rPr>
          <w:rFonts w:ascii="宋体" w:hAnsi="宋体" w:eastAsia="宋体"/>
          <w:sz w:val="24"/>
          <w:szCs w:val="24"/>
          <w:lang w:val="zh-CN"/>
        </w:rPr>
      </w:pPr>
    </w:p>
    <w:p w14:paraId="4E86B8AD">
      <w:pPr>
        <w:rPr>
          <w:rFonts w:ascii="宋体" w:hAnsi="宋体" w:eastAsia="宋体"/>
          <w:sz w:val="24"/>
          <w:szCs w:val="24"/>
          <w:lang w:val="zh-CN"/>
        </w:rPr>
      </w:pPr>
    </w:p>
    <w:p w14:paraId="575437C3">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b/>
          <w:color w:val="000000"/>
          <w:sz w:val="28"/>
          <w:szCs w:val="28"/>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5"/>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3998F540"/>
    <w:p w14:paraId="03F00AFD">
      <w:pPr>
        <w:rPr>
          <w:rFonts w:ascii="宋体" w:hAnsi="宋体" w:eastAsia="宋体"/>
          <w:sz w:val="24"/>
          <w:szCs w:val="24"/>
          <w:lang w:val="zh-CN"/>
        </w:rPr>
      </w:pPr>
      <w:r>
        <w:br w:type="page"/>
      </w:r>
    </w:p>
    <w:p w14:paraId="2925155A">
      <w:pPr>
        <w:keepNext w:val="0"/>
        <w:keepLines w:val="0"/>
        <w:pageBreakBefore w:val="0"/>
        <w:widowControl/>
        <w:numPr>
          <w:ilvl w:val="0"/>
          <w:numId w:val="0"/>
        </w:numPr>
        <w:kinsoku/>
        <w:wordWrap/>
        <w:overflowPunct/>
        <w:topLinePunct w:val="0"/>
        <w:autoSpaceDE/>
        <w:autoSpaceDN/>
        <w:bidi w:val="0"/>
        <w:adjustRightInd/>
        <w:snapToGrid/>
        <w:ind w:leftChars="0" w:firstLine="562" w:firstLineChars="200"/>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（营业执照、资质证书等复印件）</w:t>
      </w:r>
      <w:bookmarkStart w:id="1" w:name="_GoBack"/>
      <w:bookmarkEnd w:id="1"/>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6AC0B6E">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十三、技术参数偏离表 （包括各项佐证材料）</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40D84367">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7D7820C7">
      <w:pPr>
        <w:pStyle w:val="4"/>
        <w:rPr>
          <w:rFonts w:hint="eastAsia"/>
        </w:rPr>
      </w:pPr>
    </w:p>
    <w:p w14:paraId="17F60C46">
      <w:pPr>
        <w:keepNext w:val="0"/>
        <w:keepLines w:val="0"/>
        <w:pageBreakBefore w:val="0"/>
        <w:widowControl/>
        <w:numPr>
          <w:ilvl w:val="0"/>
          <w:numId w:val="7"/>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综合评审表各项响应内容</w:t>
      </w:r>
    </w:p>
    <w:p w14:paraId="53AD6130">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sz w:val="28"/>
          <w:szCs w:val="28"/>
          <w:lang w:val="en-US" w:eastAsia="zh-CN"/>
        </w:rPr>
        <w:t>十五、其它</w:t>
      </w: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Cambria Math">
    <w:panose1 w:val="02040503050406030204"/>
    <w:charset w:val="00"/>
    <w:family w:val="auto"/>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782C83"/>
    <w:multiLevelType w:val="singleLevel"/>
    <w:tmpl w:val="2B782C83"/>
    <w:lvl w:ilvl="0" w:tentative="0">
      <w:start w:val="1"/>
      <w:numFmt w:val="decimal"/>
      <w:lvlText w:val="%1."/>
      <w:lvlJc w:val="left"/>
      <w:pPr>
        <w:tabs>
          <w:tab w:val="left" w:pos="312"/>
        </w:tabs>
      </w:pPr>
    </w:lvl>
  </w:abstractNum>
  <w:abstractNum w:abstractNumId="1">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2">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3">
    <w:nsid w:val="43B5E7C1"/>
    <w:multiLevelType w:val="singleLevel"/>
    <w:tmpl w:val="43B5E7C1"/>
    <w:lvl w:ilvl="0" w:tentative="0">
      <w:start w:val="14"/>
      <w:numFmt w:val="chineseCounting"/>
      <w:suff w:val="nothing"/>
      <w:lvlText w:val="%1、"/>
      <w:lvlJc w:val="left"/>
      <w:rPr>
        <w:rFonts w:hint="eastAsia"/>
      </w:rPr>
    </w:lvl>
  </w:abstractNum>
  <w:abstractNum w:abstractNumId="4">
    <w:nsid w:val="5C6A04CC"/>
    <w:multiLevelType w:val="singleLevel"/>
    <w:tmpl w:val="5C6A04CC"/>
    <w:lvl w:ilvl="0" w:tentative="0">
      <w:start w:val="1"/>
      <w:numFmt w:val="chineseCounting"/>
      <w:suff w:val="space"/>
      <w:lvlText w:val="第%1章"/>
      <w:lvlJc w:val="left"/>
      <w:rPr>
        <w:rFonts w:hint="eastAsia"/>
      </w:rPr>
    </w:lvl>
  </w:abstractNum>
  <w:abstractNum w:abstractNumId="5">
    <w:nsid w:val="631B7839"/>
    <w:multiLevelType w:val="singleLevel"/>
    <w:tmpl w:val="631B7839"/>
    <w:lvl w:ilvl="0" w:tentative="0">
      <w:start w:val="2"/>
      <w:numFmt w:val="decimal"/>
      <w:suff w:val="nothing"/>
      <w:lvlText w:val="（%1）"/>
      <w:lvlJc w:val="left"/>
    </w:lvl>
  </w:abstractNum>
  <w:abstractNum w:abstractNumId="6">
    <w:nsid w:val="6AA9C9E5"/>
    <w:multiLevelType w:val="singleLevel"/>
    <w:tmpl w:val="6AA9C9E5"/>
    <w:lvl w:ilvl="0" w:tentative="0">
      <w:start w:val="2"/>
      <w:numFmt w:val="chineseCounting"/>
      <w:suff w:val="nothing"/>
      <w:lvlText w:val="%1、"/>
      <w:lvlJc w:val="left"/>
      <w:rPr>
        <w:rFonts w:hint="eastAsia"/>
      </w:rPr>
    </w:lvl>
  </w:abstractNum>
  <w:num w:numId="1">
    <w:abstractNumId w:val="4"/>
  </w:num>
  <w:num w:numId="2">
    <w:abstractNumId w:val="6"/>
  </w:num>
  <w:num w:numId="3">
    <w:abstractNumId w:val="5"/>
  </w:num>
  <w:num w:numId="4">
    <w:abstractNumId w:val="0"/>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36C2F53"/>
    <w:rsid w:val="049C7878"/>
    <w:rsid w:val="05076A5B"/>
    <w:rsid w:val="06816E75"/>
    <w:rsid w:val="06B07F83"/>
    <w:rsid w:val="07EE0F70"/>
    <w:rsid w:val="080A65A2"/>
    <w:rsid w:val="081B095A"/>
    <w:rsid w:val="08C1733A"/>
    <w:rsid w:val="08CD140E"/>
    <w:rsid w:val="0D257E20"/>
    <w:rsid w:val="0DA07F51"/>
    <w:rsid w:val="0E7331C3"/>
    <w:rsid w:val="0F4E11A2"/>
    <w:rsid w:val="10D60D02"/>
    <w:rsid w:val="114A4798"/>
    <w:rsid w:val="11736C51"/>
    <w:rsid w:val="11AB1717"/>
    <w:rsid w:val="11EF4694"/>
    <w:rsid w:val="13CA2D3B"/>
    <w:rsid w:val="150E71F6"/>
    <w:rsid w:val="1696735F"/>
    <w:rsid w:val="16D52CED"/>
    <w:rsid w:val="16E14FBF"/>
    <w:rsid w:val="19545A30"/>
    <w:rsid w:val="198E5E9E"/>
    <w:rsid w:val="19BD2CB7"/>
    <w:rsid w:val="1B081C72"/>
    <w:rsid w:val="1BB9254A"/>
    <w:rsid w:val="1BFD6DB5"/>
    <w:rsid w:val="1CA63C50"/>
    <w:rsid w:val="1DCA77EF"/>
    <w:rsid w:val="1ED20D4A"/>
    <w:rsid w:val="1EEF1B50"/>
    <w:rsid w:val="20341AF8"/>
    <w:rsid w:val="2092329D"/>
    <w:rsid w:val="214C62A1"/>
    <w:rsid w:val="216D46C6"/>
    <w:rsid w:val="219306DB"/>
    <w:rsid w:val="224C6733"/>
    <w:rsid w:val="23507ADC"/>
    <w:rsid w:val="241F1D5F"/>
    <w:rsid w:val="24A7212A"/>
    <w:rsid w:val="25757733"/>
    <w:rsid w:val="26470B4A"/>
    <w:rsid w:val="266437D3"/>
    <w:rsid w:val="267A5F90"/>
    <w:rsid w:val="26915EA6"/>
    <w:rsid w:val="26DE053E"/>
    <w:rsid w:val="2731316E"/>
    <w:rsid w:val="274D7F79"/>
    <w:rsid w:val="276714E7"/>
    <w:rsid w:val="281659F6"/>
    <w:rsid w:val="293A1937"/>
    <w:rsid w:val="29D54044"/>
    <w:rsid w:val="2A783AB0"/>
    <w:rsid w:val="2B28723B"/>
    <w:rsid w:val="2B5C1706"/>
    <w:rsid w:val="2B8A6B32"/>
    <w:rsid w:val="2BAC4D24"/>
    <w:rsid w:val="2D1D3BDB"/>
    <w:rsid w:val="2D833519"/>
    <w:rsid w:val="2DFB03C5"/>
    <w:rsid w:val="2FC378C6"/>
    <w:rsid w:val="2FD9098F"/>
    <w:rsid w:val="2FDF17DF"/>
    <w:rsid w:val="302671DA"/>
    <w:rsid w:val="30D15875"/>
    <w:rsid w:val="32441EA5"/>
    <w:rsid w:val="3281623F"/>
    <w:rsid w:val="32944704"/>
    <w:rsid w:val="3436075B"/>
    <w:rsid w:val="34D54377"/>
    <w:rsid w:val="357A0FA3"/>
    <w:rsid w:val="378A70E6"/>
    <w:rsid w:val="37FC75FC"/>
    <w:rsid w:val="383D56F7"/>
    <w:rsid w:val="393C0F46"/>
    <w:rsid w:val="3E650D1D"/>
    <w:rsid w:val="3E9002A8"/>
    <w:rsid w:val="3F552A03"/>
    <w:rsid w:val="40A31F26"/>
    <w:rsid w:val="420B38E3"/>
    <w:rsid w:val="42E570EA"/>
    <w:rsid w:val="43523C38"/>
    <w:rsid w:val="43B51B88"/>
    <w:rsid w:val="44AA028A"/>
    <w:rsid w:val="45376F42"/>
    <w:rsid w:val="4603606C"/>
    <w:rsid w:val="46236E29"/>
    <w:rsid w:val="469A594D"/>
    <w:rsid w:val="47C04769"/>
    <w:rsid w:val="486160DA"/>
    <w:rsid w:val="489F057B"/>
    <w:rsid w:val="4A686022"/>
    <w:rsid w:val="4ABC14C5"/>
    <w:rsid w:val="4AED3729"/>
    <w:rsid w:val="4C422DF2"/>
    <w:rsid w:val="4E473895"/>
    <w:rsid w:val="4FAE4949"/>
    <w:rsid w:val="4FAE723C"/>
    <w:rsid w:val="4FB4704D"/>
    <w:rsid w:val="4FB664D2"/>
    <w:rsid w:val="50110E80"/>
    <w:rsid w:val="511070DA"/>
    <w:rsid w:val="525F3507"/>
    <w:rsid w:val="5277467D"/>
    <w:rsid w:val="53560822"/>
    <w:rsid w:val="557D67C8"/>
    <w:rsid w:val="56136A8F"/>
    <w:rsid w:val="56153F97"/>
    <w:rsid w:val="56866800"/>
    <w:rsid w:val="571E5CB6"/>
    <w:rsid w:val="576C6B11"/>
    <w:rsid w:val="57863DB7"/>
    <w:rsid w:val="58156ACB"/>
    <w:rsid w:val="58677144"/>
    <w:rsid w:val="59137211"/>
    <w:rsid w:val="5A17370E"/>
    <w:rsid w:val="5A7C4904"/>
    <w:rsid w:val="5A7F4E12"/>
    <w:rsid w:val="5AA050D8"/>
    <w:rsid w:val="5C344BB6"/>
    <w:rsid w:val="5DFF20EB"/>
    <w:rsid w:val="5E1C5429"/>
    <w:rsid w:val="5E233CDF"/>
    <w:rsid w:val="5E744882"/>
    <w:rsid w:val="5ED418C8"/>
    <w:rsid w:val="5EE36D23"/>
    <w:rsid w:val="5EF71E76"/>
    <w:rsid w:val="5F0C0F9F"/>
    <w:rsid w:val="616C33F6"/>
    <w:rsid w:val="6212481D"/>
    <w:rsid w:val="62DE1443"/>
    <w:rsid w:val="62E24E32"/>
    <w:rsid w:val="64A55108"/>
    <w:rsid w:val="64E47B74"/>
    <w:rsid w:val="65724AA6"/>
    <w:rsid w:val="6585763E"/>
    <w:rsid w:val="65A85339"/>
    <w:rsid w:val="661108EC"/>
    <w:rsid w:val="665F0BE6"/>
    <w:rsid w:val="669049D8"/>
    <w:rsid w:val="67D14995"/>
    <w:rsid w:val="680272B9"/>
    <w:rsid w:val="68204E22"/>
    <w:rsid w:val="68BD20F9"/>
    <w:rsid w:val="6C0D60E9"/>
    <w:rsid w:val="6C36144B"/>
    <w:rsid w:val="6C951E77"/>
    <w:rsid w:val="6CF91F25"/>
    <w:rsid w:val="6D4F63E7"/>
    <w:rsid w:val="6E2E21FA"/>
    <w:rsid w:val="6EF0008F"/>
    <w:rsid w:val="6F236889"/>
    <w:rsid w:val="6F2A4AF9"/>
    <w:rsid w:val="6F3911E0"/>
    <w:rsid w:val="6F5104C0"/>
    <w:rsid w:val="6F7A7F8F"/>
    <w:rsid w:val="704F20EA"/>
    <w:rsid w:val="7071423D"/>
    <w:rsid w:val="70CD0FAF"/>
    <w:rsid w:val="710F0089"/>
    <w:rsid w:val="719B7B32"/>
    <w:rsid w:val="71DA20A9"/>
    <w:rsid w:val="72D20C3B"/>
    <w:rsid w:val="73B70B6D"/>
    <w:rsid w:val="75080C92"/>
    <w:rsid w:val="75554A93"/>
    <w:rsid w:val="764374DD"/>
    <w:rsid w:val="76B56870"/>
    <w:rsid w:val="76B838A9"/>
    <w:rsid w:val="78564BB1"/>
    <w:rsid w:val="79003D12"/>
    <w:rsid w:val="7A8D5099"/>
    <w:rsid w:val="7BB21433"/>
    <w:rsid w:val="7D1D14B5"/>
    <w:rsid w:val="7D582F68"/>
    <w:rsid w:val="7F112C06"/>
    <w:rsid w:val="7F14040A"/>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0"/>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character" w:default="1" w:styleId="17">
    <w:name w:val="Default Paragraph Font"/>
    <w:autoRedefine/>
    <w:semiHidden/>
    <w:qFormat/>
    <w:uiPriority w:val="2"/>
  </w:style>
  <w:style w:type="table" w:default="1" w:styleId="15">
    <w:name w:val="Normal Table"/>
    <w:semiHidden/>
    <w:qFormat/>
    <w:uiPriority w:val="3"/>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ind w:firstLine="420"/>
      <w:jc w:val="left"/>
    </w:pPr>
    <w:rPr>
      <w:rFonts w:ascii="宋体"/>
      <w:kern w:val="0"/>
      <w:sz w:val="24"/>
      <w:szCs w:val="20"/>
    </w:rPr>
  </w:style>
  <w:style w:type="paragraph" w:styleId="6">
    <w:name w:val="annotation text"/>
    <w:basedOn w:val="1"/>
    <w:semiHidden/>
    <w:unhideWhenUsed/>
    <w:qFormat/>
    <w:uiPriority w:val="99"/>
    <w:pPr>
      <w:jc w:val="left"/>
    </w:pPr>
  </w:style>
  <w:style w:type="paragraph" w:styleId="7">
    <w:name w:val="Body Text"/>
    <w:basedOn w:val="1"/>
    <w:next w:val="8"/>
    <w:qFormat/>
    <w:uiPriority w:val="1"/>
    <w:rPr>
      <w:rFonts w:ascii="微软雅黑" w:hAnsi="微软雅黑" w:eastAsia="微软雅黑" w:cs="微软雅黑"/>
      <w:sz w:val="15"/>
      <w:szCs w:val="15"/>
      <w:lang w:val="zh-CN" w:bidi="zh-CN"/>
    </w:rPr>
  </w:style>
  <w:style w:type="paragraph" w:styleId="8">
    <w:name w:val="toc 2"/>
    <w:basedOn w:val="1"/>
    <w:next w:val="1"/>
    <w:qFormat/>
    <w:uiPriority w:val="39"/>
    <w:pPr>
      <w:ind w:left="210"/>
      <w:jc w:val="left"/>
    </w:pPr>
    <w:rPr>
      <w:rFonts w:ascii="Calibri" w:hAnsi="Calibri"/>
      <w:smallCaps/>
      <w:sz w:val="20"/>
    </w:rPr>
  </w:style>
  <w:style w:type="paragraph" w:styleId="9">
    <w:name w:val="Plain Text"/>
    <w:basedOn w:val="1"/>
    <w:qFormat/>
    <w:uiPriority w:val="0"/>
    <w:rPr>
      <w:rFonts w:ascii="宋体" w:hAnsi="Courier New"/>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next w:val="7"/>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Body Text 2"/>
    <w:basedOn w:val="1"/>
    <w:unhideWhenUsed/>
    <w:qFormat/>
    <w:uiPriority w:val="99"/>
    <w:pPr>
      <w:spacing w:line="480" w:lineRule="auto"/>
    </w:pPr>
  </w:style>
  <w:style w:type="paragraph" w:styleId="13">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14">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table" w:styleId="16">
    <w:name w:val="Table Grid"/>
    <w:basedOn w:val="15"/>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Normal_6"/>
    <w:next w:val="9"/>
    <w:qFormat/>
    <w:uiPriority w:val="0"/>
    <w:pPr>
      <w:widowControl w:val="0"/>
      <w:jc w:val="both"/>
    </w:pPr>
    <w:rPr>
      <w:rFonts w:ascii="Times New Roman" w:hAnsi="Times New Roman" w:eastAsia="宋体" w:cs="Times New Roman"/>
      <w:kern w:val="2"/>
      <w:sz w:val="21"/>
      <w:lang w:val="en-US" w:eastAsia="zh-CN" w:bidi="ar-SA"/>
    </w:rPr>
  </w:style>
  <w:style w:type="paragraph" w:styleId="19">
    <w:name w:val="List Paragraph"/>
    <w:basedOn w:val="1"/>
    <w:qFormat/>
    <w:uiPriority w:val="26"/>
    <w:pPr>
      <w:ind w:firstLine="200"/>
    </w:pPr>
    <w:rPr>
      <w:rFonts w:ascii="Times New Roman" w:hAnsi="Times New Roman" w:eastAsia="宋体" w:cs="Times New Roman"/>
      <w:sz w:val="28"/>
      <w:szCs w:val="28"/>
    </w:rPr>
  </w:style>
  <w:style w:type="character" w:customStyle="1" w:styleId="20">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1">
    <w:name w:val="font11"/>
    <w:basedOn w:val="17"/>
    <w:autoRedefine/>
    <w:qFormat/>
    <w:uiPriority w:val="0"/>
    <w:rPr>
      <w:rFonts w:hint="eastAsia" w:ascii="宋体" w:hAnsi="宋体" w:eastAsia="宋体" w:cs="宋体"/>
      <w:color w:val="000000"/>
      <w:sz w:val="24"/>
      <w:szCs w:val="24"/>
      <w:u w:val="none"/>
    </w:rPr>
  </w:style>
  <w:style w:type="character" w:customStyle="1" w:styleId="22">
    <w:name w:val="font31"/>
    <w:basedOn w:val="17"/>
    <w:autoRedefine/>
    <w:qFormat/>
    <w:uiPriority w:val="0"/>
    <w:rPr>
      <w:rFonts w:hint="eastAsia" w:ascii="宋体" w:hAnsi="宋体" w:eastAsia="宋体" w:cs="宋体"/>
      <w:color w:val="000000"/>
      <w:sz w:val="21"/>
      <w:szCs w:val="21"/>
      <w:u w:val="none"/>
    </w:rPr>
  </w:style>
  <w:style w:type="paragraph" w:customStyle="1" w:styleId="23">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4">
    <w:name w:val="font41"/>
    <w:basedOn w:val="17"/>
    <w:autoRedefine/>
    <w:qFormat/>
    <w:uiPriority w:val="0"/>
    <w:rPr>
      <w:rFonts w:ascii="Calibri" w:hAnsi="Calibri" w:cs="Calibri"/>
      <w:color w:val="000000"/>
      <w:sz w:val="28"/>
      <w:szCs w:val="28"/>
      <w:u w:val="none"/>
    </w:rPr>
  </w:style>
  <w:style w:type="character" w:customStyle="1" w:styleId="25">
    <w:name w:val="font21"/>
    <w:basedOn w:val="17"/>
    <w:autoRedefine/>
    <w:qFormat/>
    <w:uiPriority w:val="0"/>
    <w:rPr>
      <w:rFonts w:hint="eastAsia" w:ascii="宋体" w:hAnsi="宋体" w:eastAsia="宋体" w:cs="宋体"/>
      <w:color w:val="000000"/>
      <w:sz w:val="21"/>
      <w:szCs w:val="21"/>
      <w:u w:val="none"/>
    </w:rPr>
  </w:style>
  <w:style w:type="table" w:customStyle="1" w:styleId="26">
    <w:name w:val="网格型1"/>
    <w:basedOn w:val="27"/>
    <w:qFormat/>
    <w:uiPriority w:val="0"/>
    <w:pPr>
      <w:widowControl w:val="0"/>
      <w:jc w:val="both"/>
    </w:pPr>
  </w:style>
  <w:style w:type="table" w:customStyle="1" w:styleId="27">
    <w:name w:val="普通表格1"/>
    <w:semiHidden/>
    <w:qFormat/>
    <w:uiPriority w:val="0"/>
  </w:style>
  <w:style w:type="paragraph" w:customStyle="1" w:styleId="28">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9">
    <w:name w:val="段"/>
    <w:qFormat/>
    <w:uiPriority w:val="0"/>
    <w:pPr>
      <w:autoSpaceDE w:val="0"/>
      <w:autoSpaceDN w:val="0"/>
      <w:ind w:firstLine="420" w:firstLineChars="200"/>
      <w:jc w:val="both"/>
    </w:pPr>
    <w:rPr>
      <w:rFonts w:ascii="宋体" w:hAnsi="Calibri" w:eastAsia="宋体" w:cs="Times New Roman"/>
      <w:sz w:val="21"/>
      <w:szCs w:val="22"/>
      <w:lang w:val="en-US" w:eastAsia="zh-CN" w:bidi="ar-SA"/>
    </w:rPr>
  </w:style>
  <w:style w:type="paragraph" w:customStyle="1" w:styleId="30">
    <w:name w:val="列出段落1"/>
    <w:basedOn w:val="1"/>
    <w:qFormat/>
    <w:uiPriority w:val="34"/>
    <w:pPr>
      <w:ind w:firstLine="420" w:firstLineChars="200"/>
    </w:pPr>
    <w:rPr>
      <w:rFonts w:ascii="Times New Roman" w:hAnsi="Times New Roman" w:eastAsia="宋体" w:cs="Times New Roman"/>
      <w:sz w:val="28"/>
      <w:szCs w:val="21"/>
    </w:rPr>
  </w:style>
  <w:style w:type="paragraph" w:customStyle="1" w:styleId="31">
    <w:name w:val="列表段落2"/>
    <w:basedOn w:val="1"/>
    <w:qFormat/>
    <w:uiPriority w:val="0"/>
    <w:pPr>
      <w:ind w:firstLine="420" w:firstLineChars="200"/>
    </w:pPr>
    <w:rPr>
      <w:rFonts w:ascii="Calibri" w:hAnsi="Calibri" w:eastAsia="宋体" w:cs="Times New Roman"/>
    </w:rPr>
  </w:style>
  <w:style w:type="paragraph" w:customStyle="1" w:styleId="32">
    <w:name w:val="Table Text"/>
    <w:basedOn w:val="1"/>
    <w:semiHidden/>
    <w:qFormat/>
    <w:uiPriority w:val="0"/>
    <w:pPr>
      <w:widowControl/>
      <w:kinsoku w:val="0"/>
      <w:autoSpaceDE w:val="0"/>
      <w:autoSpaceDN w:val="0"/>
      <w:adjustRightInd w:val="0"/>
      <w:snapToGrid w:val="0"/>
      <w:spacing w:after="160"/>
      <w:jc w:val="left"/>
      <w:textAlignment w:val="baseline"/>
    </w:pPr>
    <w:rPr>
      <w:rFonts w:ascii="宋体" w:hAnsi="宋体" w:cs="宋体"/>
      <w:snapToGrid w:val="0"/>
      <w:color w:val="000000"/>
      <w:kern w:val="0"/>
      <w:sz w:val="24"/>
      <w:lang w:eastAsia="en-US"/>
    </w:rPr>
  </w:style>
  <w:style w:type="paragraph" w:customStyle="1" w:styleId="33">
    <w:name w:val="正文_4_0"/>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4">
    <w:name w:val="15_1"/>
    <w:basedOn w:val="17"/>
    <w:qFormat/>
    <w:uiPriority w:val="0"/>
    <w:rPr>
      <w:rFonts w:hint="default" w:ascii="Times New Roman" w:hAnsi="Times New Roman" w:eastAsia="Times New Roman" w:cs="Times New Roman"/>
    </w:rPr>
  </w:style>
  <w:style w:type="paragraph" w:customStyle="1" w:styleId="35">
    <w:name w:val="Normal"/>
    <w:qFormat/>
    <w:uiPriority w:val="0"/>
    <w:pPr>
      <w:widowControl w:val="0"/>
      <w:adjustRightInd w:val="0"/>
      <w:spacing w:line="315" w:lineRule="atLeast"/>
      <w:jc w:val="both"/>
      <w:textAlignment w:val="baseline"/>
    </w:pPr>
    <w:rPr>
      <w:rFonts w:ascii="宋体" w:hAnsi="Calibri" w:eastAsia="宋体" w:cs="Times New Roman"/>
      <w:sz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26</Pages>
  <Words>36</Words>
  <Characters>39</Characters>
  <Lines>0</Lines>
  <Paragraphs>0</Paragraphs>
  <TotalTime>1</TotalTime>
  <ScaleCrop>false</ScaleCrop>
  <LinksUpToDate>false</LinksUpToDate>
  <CharactersWithSpaces>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2026-10-22T08:02:01Z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969D75979B98452A80451A15A372A355_13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