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67EC06E8">
      <w:pPr>
        <w:pStyle w:val="2"/>
        <w:rPr>
          <w:rFonts w:hint="eastAsia" w:ascii="宋体" w:hAnsi="宋体" w:eastAsia="宋体" w:cs="宋体"/>
          <w:b/>
          <w:bCs/>
          <w:lang w:val="en-US" w:eastAsia="zh-CN"/>
        </w:rPr>
      </w:pPr>
    </w:p>
    <w:p w14:paraId="20EBF980">
      <w:pPr>
        <w:pStyle w:val="2"/>
        <w:rPr>
          <w:rFonts w:hint="eastAsia" w:ascii="宋体" w:hAnsi="宋体" w:eastAsia="宋体" w:cs="宋体"/>
          <w:b/>
          <w:bCs/>
          <w:lang w:val="en-US" w:eastAsia="zh-CN"/>
        </w:rPr>
      </w:pPr>
    </w:p>
    <w:p w14:paraId="480FC8F5">
      <w:pPr>
        <w:pStyle w:val="2"/>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7AC87205">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职工从业年限认定服务项目</w:t>
      </w:r>
    </w:p>
    <w:p w14:paraId="241D9F47">
      <w:pPr>
        <w:numPr>
          <w:ilvl w:val="0"/>
          <w:numId w:val="0"/>
        </w:numPr>
        <w:jc w:val="center"/>
        <w:rPr>
          <w:rFonts w:hint="eastAsia" w:ascii="宋体" w:hAnsi="宋体" w:eastAsia="宋体" w:cs="宋体"/>
          <w:b/>
          <w:i w:val="0"/>
          <w:caps/>
          <w:color w:val="333333"/>
          <w:spacing w:val="0"/>
          <w:sz w:val="36"/>
          <w:szCs w:val="36"/>
          <w:lang w:val="en-US" w:eastAsia="zh-CN"/>
        </w:rPr>
      </w:pP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2026年10月22日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bookmarkStart w:id="2" w:name="_GoBack"/>
      <w:bookmarkEnd w:id="2"/>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7"/>
        <w:tblW w:w="1013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6"/>
        <w:gridCol w:w="4125"/>
        <w:gridCol w:w="939"/>
        <w:gridCol w:w="900"/>
        <w:gridCol w:w="1605"/>
        <w:gridCol w:w="1690"/>
      </w:tblGrid>
      <w:tr w14:paraId="197C9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876" w:type="dxa"/>
            <w:vAlign w:val="center"/>
          </w:tcPr>
          <w:p w14:paraId="6E953956">
            <w:pPr>
              <w:jc w:val="cente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序号</w:t>
            </w:r>
          </w:p>
        </w:tc>
        <w:tc>
          <w:tcPr>
            <w:tcW w:w="4125" w:type="dxa"/>
            <w:vAlign w:val="center"/>
          </w:tcPr>
          <w:p w14:paraId="37685B3A">
            <w:pPr>
              <w:jc w:val="cente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名称</w:t>
            </w:r>
          </w:p>
        </w:tc>
        <w:tc>
          <w:tcPr>
            <w:tcW w:w="939" w:type="dxa"/>
            <w:vAlign w:val="center"/>
          </w:tcPr>
          <w:p w14:paraId="330B60A0">
            <w:pPr>
              <w:jc w:val="cente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单位</w:t>
            </w:r>
          </w:p>
        </w:tc>
        <w:tc>
          <w:tcPr>
            <w:tcW w:w="900" w:type="dxa"/>
            <w:vAlign w:val="center"/>
          </w:tcPr>
          <w:p w14:paraId="53D99B1B">
            <w:pPr>
              <w:jc w:val="cente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数量</w:t>
            </w:r>
          </w:p>
        </w:tc>
        <w:tc>
          <w:tcPr>
            <w:tcW w:w="1605" w:type="dxa"/>
            <w:vAlign w:val="center"/>
          </w:tcPr>
          <w:p w14:paraId="0667185E">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预算单价</w:t>
            </w:r>
          </w:p>
        </w:tc>
        <w:tc>
          <w:tcPr>
            <w:tcW w:w="1690" w:type="dxa"/>
            <w:vAlign w:val="center"/>
          </w:tcPr>
          <w:p w14:paraId="365CCA29">
            <w:pPr>
              <w:jc w:val="cente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预算总价</w:t>
            </w:r>
          </w:p>
        </w:tc>
      </w:tr>
      <w:tr w14:paraId="5D6FC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76" w:type="dxa"/>
            <w:vAlign w:val="center"/>
          </w:tcPr>
          <w:p w14:paraId="1998C477">
            <w:pPr>
              <w:jc w:val="cente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1</w:t>
            </w:r>
          </w:p>
        </w:tc>
        <w:tc>
          <w:tcPr>
            <w:tcW w:w="4125" w:type="dxa"/>
            <w:vAlign w:val="center"/>
          </w:tcPr>
          <w:p w14:paraId="1B5E05E9">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职工从业年限认定</w:t>
            </w:r>
            <w:r>
              <w:rPr>
                <w:rFonts w:hint="default" w:ascii="仿宋" w:hAnsi="仿宋" w:eastAsia="仿宋" w:cs="仿宋"/>
                <w:color w:val="000000"/>
                <w:kern w:val="0"/>
                <w:sz w:val="32"/>
                <w:szCs w:val="32"/>
                <w:lang w:val="en-US" w:eastAsia="zh-CN"/>
              </w:rPr>
              <w:t>服务项目</w:t>
            </w:r>
          </w:p>
        </w:tc>
        <w:tc>
          <w:tcPr>
            <w:tcW w:w="939" w:type="dxa"/>
            <w:vAlign w:val="center"/>
          </w:tcPr>
          <w:p w14:paraId="7027CD77">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份</w:t>
            </w:r>
          </w:p>
        </w:tc>
        <w:tc>
          <w:tcPr>
            <w:tcW w:w="900" w:type="dxa"/>
            <w:vAlign w:val="center"/>
          </w:tcPr>
          <w:p w14:paraId="171D1772">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1800</w:t>
            </w:r>
          </w:p>
        </w:tc>
        <w:tc>
          <w:tcPr>
            <w:tcW w:w="1605" w:type="dxa"/>
            <w:vAlign w:val="center"/>
          </w:tcPr>
          <w:p w14:paraId="2E9D13F7">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280</w:t>
            </w:r>
          </w:p>
        </w:tc>
        <w:tc>
          <w:tcPr>
            <w:tcW w:w="1690" w:type="dxa"/>
            <w:vAlign w:val="center"/>
          </w:tcPr>
          <w:p w14:paraId="5EDE0CE1">
            <w:pPr>
              <w:jc w:val="cente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504000</w:t>
            </w:r>
          </w:p>
        </w:tc>
      </w:tr>
      <w:tr w14:paraId="40F0B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76" w:type="dxa"/>
            <w:vAlign w:val="center"/>
          </w:tcPr>
          <w:p w14:paraId="23EA842E">
            <w:pPr>
              <w:jc w:val="center"/>
              <w:rPr>
                <w:rFonts w:hint="eastAsia" w:ascii="仿宋" w:hAnsi="仿宋" w:eastAsia="仿宋" w:cs="仿宋"/>
                <w:color w:val="000000"/>
                <w:kern w:val="0"/>
                <w:sz w:val="32"/>
                <w:szCs w:val="32"/>
                <w:lang w:val="en-US" w:eastAsia="zh"/>
              </w:rPr>
            </w:pPr>
          </w:p>
        </w:tc>
        <w:tc>
          <w:tcPr>
            <w:tcW w:w="5964" w:type="dxa"/>
            <w:gridSpan w:val="3"/>
            <w:vAlign w:val="center"/>
          </w:tcPr>
          <w:p w14:paraId="5367F7F2">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总价合计</w:t>
            </w:r>
          </w:p>
        </w:tc>
        <w:tc>
          <w:tcPr>
            <w:tcW w:w="3295" w:type="dxa"/>
            <w:gridSpan w:val="2"/>
            <w:vAlign w:val="center"/>
          </w:tcPr>
          <w:p w14:paraId="72C52257">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504000</w:t>
            </w:r>
          </w:p>
        </w:tc>
      </w:tr>
      <w:tr w14:paraId="22F0C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876" w:type="dxa"/>
            <w:vAlign w:val="center"/>
          </w:tcPr>
          <w:p w14:paraId="26F3DBCE">
            <w:pPr>
              <w:jc w:val="cente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2</w:t>
            </w:r>
          </w:p>
        </w:tc>
        <w:tc>
          <w:tcPr>
            <w:tcW w:w="4125" w:type="dxa"/>
            <w:vAlign w:val="center"/>
          </w:tcPr>
          <w:p w14:paraId="6E557C6A">
            <w:pPr>
              <w:jc w:val="center"/>
              <w:rPr>
                <w:rFonts w:hint="eastAsia" w:ascii="仿宋" w:hAnsi="仿宋" w:eastAsia="仿宋" w:cs="仿宋"/>
                <w:color w:val="000000"/>
                <w:kern w:val="0"/>
                <w:sz w:val="32"/>
                <w:szCs w:val="32"/>
                <w:lang w:val="en-US" w:eastAsia="zh"/>
              </w:rPr>
            </w:pPr>
            <w:r>
              <w:rPr>
                <w:rFonts w:hint="eastAsia" w:ascii="仿宋" w:hAnsi="仿宋" w:eastAsia="仿宋" w:cs="仿宋"/>
                <w:color w:val="000000"/>
                <w:kern w:val="0"/>
                <w:sz w:val="32"/>
                <w:szCs w:val="32"/>
                <w:lang w:val="en-US" w:eastAsia="zh-CN"/>
              </w:rPr>
              <w:t>付款条件</w:t>
            </w:r>
          </w:p>
        </w:tc>
        <w:tc>
          <w:tcPr>
            <w:tcW w:w="5134" w:type="dxa"/>
            <w:gridSpan w:val="4"/>
            <w:vAlign w:val="center"/>
          </w:tcPr>
          <w:p w14:paraId="3E470820">
            <w:pPr>
              <w:jc w:val="center"/>
              <w:rPr>
                <w:rFonts w:hint="default" w:ascii="仿宋" w:hAnsi="仿宋" w:eastAsia="仿宋" w:cs="仿宋"/>
                <w:color w:val="000000"/>
                <w:kern w:val="0"/>
                <w:sz w:val="32"/>
                <w:szCs w:val="32"/>
                <w:lang w:val="en-US" w:eastAsia="zh"/>
              </w:rPr>
            </w:pPr>
            <w:r>
              <w:rPr>
                <w:rFonts w:hint="eastAsia" w:ascii="仿宋" w:hAnsi="仿宋" w:eastAsia="仿宋" w:cs="仿宋"/>
                <w:color w:val="000000"/>
                <w:kern w:val="0"/>
                <w:sz w:val="32"/>
                <w:szCs w:val="32"/>
                <w:lang w:val="en-US" w:eastAsia="zh-CN"/>
              </w:rPr>
              <w:t>以审批通过接续工龄工资变动且工龄认定服务全部材料完成归档人数一次性据实结算</w:t>
            </w:r>
          </w:p>
        </w:tc>
      </w:tr>
      <w:tr w14:paraId="511E6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76" w:type="dxa"/>
            <w:vAlign w:val="center"/>
          </w:tcPr>
          <w:p w14:paraId="2885E81D">
            <w:pPr>
              <w:jc w:val="cente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3</w:t>
            </w:r>
          </w:p>
        </w:tc>
        <w:tc>
          <w:tcPr>
            <w:tcW w:w="4125" w:type="dxa"/>
            <w:vAlign w:val="center"/>
          </w:tcPr>
          <w:p w14:paraId="171616BA">
            <w:pPr>
              <w:jc w:val="center"/>
              <w:rPr>
                <w:rFonts w:hint="eastAsia" w:ascii="仿宋" w:hAnsi="仿宋" w:eastAsia="仿宋" w:cs="仿宋"/>
                <w:color w:val="000000"/>
                <w:kern w:val="0"/>
                <w:sz w:val="32"/>
                <w:szCs w:val="32"/>
                <w:lang w:val="en-US" w:eastAsia="zh"/>
              </w:rPr>
            </w:pPr>
            <w:r>
              <w:rPr>
                <w:rFonts w:hint="eastAsia" w:ascii="仿宋" w:hAnsi="仿宋" w:eastAsia="仿宋" w:cs="仿宋"/>
                <w:color w:val="000000"/>
                <w:kern w:val="0"/>
                <w:sz w:val="32"/>
                <w:szCs w:val="32"/>
                <w:lang w:val="en-US" w:eastAsia="zh-CN"/>
              </w:rPr>
              <w:t>服务期</w:t>
            </w:r>
          </w:p>
        </w:tc>
        <w:tc>
          <w:tcPr>
            <w:tcW w:w="5134" w:type="dxa"/>
            <w:gridSpan w:val="4"/>
            <w:vAlign w:val="center"/>
          </w:tcPr>
          <w:p w14:paraId="7963D2D5">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合同签订后12个月</w:t>
            </w:r>
          </w:p>
        </w:tc>
      </w:tr>
      <w:tr w14:paraId="39E67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76" w:type="dxa"/>
            <w:vAlign w:val="center"/>
          </w:tcPr>
          <w:p w14:paraId="0E18ECEE">
            <w:pPr>
              <w:jc w:val="cente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4</w:t>
            </w:r>
          </w:p>
        </w:tc>
        <w:tc>
          <w:tcPr>
            <w:tcW w:w="4125" w:type="dxa"/>
            <w:vAlign w:val="center"/>
          </w:tcPr>
          <w:p w14:paraId="4379D7B0">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入场时间</w:t>
            </w:r>
          </w:p>
        </w:tc>
        <w:tc>
          <w:tcPr>
            <w:tcW w:w="5134" w:type="dxa"/>
            <w:gridSpan w:val="4"/>
            <w:vAlign w:val="center"/>
          </w:tcPr>
          <w:p w14:paraId="27BCF855">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2026年11月2日</w:t>
            </w:r>
          </w:p>
        </w:tc>
      </w:tr>
      <w:tr w14:paraId="5927F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76" w:type="dxa"/>
            <w:vAlign w:val="center"/>
          </w:tcPr>
          <w:p w14:paraId="56FFEDB2">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5</w:t>
            </w:r>
          </w:p>
        </w:tc>
        <w:tc>
          <w:tcPr>
            <w:tcW w:w="4125" w:type="dxa"/>
            <w:vAlign w:val="center"/>
          </w:tcPr>
          <w:p w14:paraId="4E36F455">
            <w:pPr>
              <w:jc w:val="center"/>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服务地点</w:t>
            </w:r>
          </w:p>
        </w:tc>
        <w:tc>
          <w:tcPr>
            <w:tcW w:w="5134" w:type="dxa"/>
            <w:gridSpan w:val="4"/>
            <w:vAlign w:val="center"/>
          </w:tcPr>
          <w:p w14:paraId="19D7F727">
            <w:pPr>
              <w:jc w:val="cente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鄂尔多斯市中心医院（东胜部、康巴什部）</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4C773A18">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60D3ABD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项目基本情况介绍：为规范人事管理、精准核定职工待遇，我单位开展职工从业年限认定工作。依据国家及地方相关政策，以原始材料为依据，对职工参加工作时间、连续工龄、视同及实际缴费年限等进行全面核实。通过档案梳理、年限核算</w:t>
      </w:r>
      <w:r>
        <w:rPr>
          <w:rFonts w:hint="eastAsia" w:ascii="仿宋" w:hAnsi="仿宋" w:eastAsia="仿宋" w:cs="仿宋"/>
          <w:sz w:val="32"/>
          <w:szCs w:val="32"/>
          <w:lang w:eastAsia="zh-CN"/>
        </w:rPr>
        <w:t>、审核上报</w:t>
      </w:r>
      <w:r>
        <w:rPr>
          <w:rFonts w:hint="eastAsia" w:ascii="仿宋" w:hAnsi="仿宋" w:eastAsia="仿宋" w:cs="仿宋"/>
          <w:sz w:val="32"/>
          <w:szCs w:val="32"/>
        </w:rPr>
        <w:t>等流程，统一认定标准，夯实管理基础，切实维护职工合法权益，为薪酬核算工作提供准确依据。</w:t>
      </w:r>
    </w:p>
    <w:p w14:paraId="75CA7EF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32"/>
          <w:szCs w:val="32"/>
          <w:u w:val="single"/>
        </w:rPr>
      </w:pPr>
      <w:r>
        <w:rPr>
          <w:rFonts w:hint="eastAsia" w:ascii="仿宋" w:hAnsi="仿宋" w:eastAsia="仿宋" w:cs="仿宋"/>
          <w:sz w:val="32"/>
          <w:szCs w:val="32"/>
          <w:lang w:val="en-US" w:eastAsia="zh-CN"/>
        </w:rPr>
        <w:t>（二）</w:t>
      </w:r>
      <w:r>
        <w:rPr>
          <w:rFonts w:hint="eastAsia" w:ascii="仿宋" w:hAnsi="仿宋" w:eastAsia="仿宋" w:cs="仿宋"/>
          <w:sz w:val="32"/>
          <w:szCs w:val="32"/>
        </w:rPr>
        <w:t>技术参数和要求</w:t>
      </w:r>
    </w:p>
    <w:tbl>
      <w:tblPr>
        <w:tblStyle w:val="16"/>
        <w:tblW w:w="9810" w:type="dxa"/>
        <w:jc w:val="center"/>
        <w:tblLayout w:type="fixed"/>
        <w:tblCellMar>
          <w:top w:w="0" w:type="dxa"/>
          <w:left w:w="108" w:type="dxa"/>
          <w:bottom w:w="0" w:type="dxa"/>
          <w:right w:w="108" w:type="dxa"/>
        </w:tblCellMar>
      </w:tblPr>
      <w:tblGrid>
        <w:gridCol w:w="1555"/>
        <w:gridCol w:w="1134"/>
        <w:gridCol w:w="7121"/>
      </w:tblGrid>
      <w:tr w14:paraId="7E759BFE">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hint="eastAsia" w:ascii="仿宋" w:hAnsi="仿宋" w:eastAsia="仿宋" w:cs="仿宋"/>
                <w:sz w:val="32"/>
                <w:szCs w:val="32"/>
              </w:rPr>
            </w:pPr>
            <w:r>
              <w:rPr>
                <w:rFonts w:hint="eastAsia" w:ascii="仿宋" w:hAnsi="仿宋" w:eastAsia="仿宋" w:cs="仿宋"/>
                <w:sz w:val="32"/>
                <w:szCs w:val="32"/>
              </w:rPr>
              <w:t>参数性质</w:t>
            </w:r>
          </w:p>
        </w:tc>
        <w:tc>
          <w:tcPr>
            <w:tcW w:w="1134" w:type="dxa"/>
            <w:tcBorders>
              <w:top w:val="single" w:color="auto" w:sz="4" w:space="0"/>
              <w:left w:val="nil"/>
              <w:bottom w:val="single" w:color="auto" w:sz="4" w:space="0"/>
              <w:right w:val="single" w:color="auto" w:sz="4" w:space="0"/>
            </w:tcBorders>
            <w:vAlign w:val="center"/>
          </w:tcPr>
          <w:p w14:paraId="247E3B3A">
            <w:pPr>
              <w:widowControl/>
              <w:jc w:val="center"/>
              <w:rPr>
                <w:rFonts w:hint="eastAsia" w:ascii="仿宋" w:hAnsi="仿宋" w:eastAsia="仿宋" w:cs="仿宋"/>
                <w:sz w:val="32"/>
                <w:szCs w:val="32"/>
              </w:rPr>
            </w:pPr>
            <w:r>
              <w:rPr>
                <w:rFonts w:hint="eastAsia" w:ascii="仿宋" w:hAnsi="仿宋" w:eastAsia="仿宋" w:cs="仿宋"/>
                <w:sz w:val="32"/>
                <w:szCs w:val="32"/>
              </w:rPr>
              <w:t>编号</w:t>
            </w:r>
          </w:p>
        </w:tc>
        <w:tc>
          <w:tcPr>
            <w:tcW w:w="7121" w:type="dxa"/>
            <w:tcBorders>
              <w:top w:val="single" w:color="auto" w:sz="4" w:space="0"/>
              <w:left w:val="nil"/>
              <w:bottom w:val="single" w:color="auto" w:sz="4" w:space="0"/>
              <w:right w:val="single" w:color="auto" w:sz="4" w:space="0"/>
            </w:tcBorders>
            <w:vAlign w:val="center"/>
          </w:tcPr>
          <w:p w14:paraId="19B2E130">
            <w:pPr>
              <w:widowControl/>
              <w:jc w:val="center"/>
              <w:rPr>
                <w:rFonts w:hint="eastAsia" w:ascii="仿宋" w:hAnsi="仿宋" w:eastAsia="仿宋" w:cs="仿宋"/>
                <w:sz w:val="32"/>
                <w:szCs w:val="32"/>
              </w:rPr>
            </w:pPr>
            <w:r>
              <w:rPr>
                <w:rFonts w:hint="eastAsia" w:ascii="仿宋" w:hAnsi="仿宋" w:eastAsia="仿宋" w:cs="仿宋"/>
                <w:sz w:val="32"/>
                <w:szCs w:val="32"/>
              </w:rPr>
              <w:t>技术参数和要求</w:t>
            </w:r>
          </w:p>
        </w:tc>
      </w:tr>
      <w:tr w14:paraId="3766A3F1">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widowControl/>
              <w:jc w:val="center"/>
              <w:rPr>
                <w:rFonts w:hint="eastAsia" w:ascii="仿宋" w:hAnsi="仿宋" w:eastAsia="仿宋" w:cs="仿宋"/>
                <w:sz w:val="32"/>
                <w:szCs w:val="32"/>
              </w:rPr>
            </w:pPr>
            <w:r>
              <w:rPr>
                <w:rFonts w:hint="eastAsia" w:ascii="仿宋" w:hAnsi="仿宋" w:eastAsia="仿宋" w:cs="仿宋"/>
                <w:sz w:val="32"/>
                <w:szCs w:val="32"/>
                <w:lang w:eastAsia="zh-CN"/>
              </w:rPr>
              <w:t>工作人员要求</w:t>
            </w:r>
          </w:p>
        </w:tc>
        <w:tc>
          <w:tcPr>
            <w:tcW w:w="1134" w:type="dxa"/>
            <w:tcBorders>
              <w:top w:val="single" w:color="auto" w:sz="4" w:space="0"/>
              <w:left w:val="nil"/>
              <w:bottom w:val="single" w:color="auto" w:sz="4" w:space="0"/>
              <w:right w:val="single" w:color="auto" w:sz="4" w:space="0"/>
            </w:tcBorders>
            <w:vAlign w:val="center"/>
          </w:tcPr>
          <w:p w14:paraId="5095C250">
            <w:pPr>
              <w:widowControl/>
              <w:jc w:val="center"/>
              <w:rPr>
                <w:rFonts w:hint="eastAsia" w:ascii="仿宋" w:hAnsi="仿宋" w:eastAsia="仿宋" w:cs="仿宋"/>
                <w:sz w:val="32"/>
                <w:szCs w:val="32"/>
              </w:rPr>
            </w:pPr>
            <w:r>
              <w:rPr>
                <w:rFonts w:hint="eastAsia" w:ascii="仿宋" w:hAnsi="仿宋" w:eastAsia="仿宋" w:cs="仿宋"/>
                <w:sz w:val="32"/>
                <w:szCs w:val="32"/>
              </w:rPr>
              <w:t>1</w:t>
            </w:r>
          </w:p>
        </w:tc>
        <w:tc>
          <w:tcPr>
            <w:tcW w:w="7121" w:type="dxa"/>
            <w:tcBorders>
              <w:top w:val="single" w:color="auto" w:sz="4" w:space="0"/>
              <w:left w:val="nil"/>
              <w:bottom w:val="single" w:color="auto" w:sz="4" w:space="0"/>
              <w:right w:val="single" w:color="auto" w:sz="4" w:space="0"/>
            </w:tcBorders>
            <w:vAlign w:val="center"/>
          </w:tcPr>
          <w:p w14:paraId="1C4C5507">
            <w:pPr>
              <w:widowControl/>
              <w:jc w:val="left"/>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人员配置规模</w:t>
            </w:r>
            <w:r>
              <w:rPr>
                <w:rFonts w:hint="eastAsia" w:ascii="仿宋" w:hAnsi="仿宋" w:eastAsia="仿宋" w:cs="仿宋"/>
                <w:color w:val="auto"/>
                <w:sz w:val="32"/>
                <w:szCs w:val="32"/>
                <w:lang w:val="en-US" w:eastAsia="zh-CN"/>
              </w:rPr>
              <w:t>不少于7</w:t>
            </w:r>
            <w:r>
              <w:rPr>
                <w:rFonts w:hint="eastAsia" w:ascii="仿宋" w:hAnsi="仿宋" w:eastAsia="仿宋" w:cs="仿宋"/>
                <w:color w:val="auto"/>
                <w:sz w:val="32"/>
                <w:szCs w:val="32"/>
                <w:lang w:eastAsia="zh-CN"/>
              </w:rPr>
              <w:t xml:space="preserve">人，其中东胜部配置不少于 </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eastAsia="zh-CN"/>
              </w:rPr>
              <w:t>人，康巴什部配置不少于 2 人。以下为工作人员相关要求：学历</w:t>
            </w:r>
            <w:r>
              <w:rPr>
                <w:rFonts w:hint="eastAsia" w:ascii="仿宋" w:hAnsi="仿宋" w:eastAsia="仿宋" w:cs="仿宋"/>
                <w:color w:val="auto"/>
                <w:sz w:val="32"/>
                <w:szCs w:val="32"/>
                <w:lang w:val="en-US" w:eastAsia="zh-CN"/>
              </w:rPr>
              <w:t>大专及以上，</w:t>
            </w:r>
            <w:r>
              <w:rPr>
                <w:rFonts w:hint="eastAsia" w:ascii="仿宋" w:hAnsi="仿宋" w:eastAsia="仿宋" w:cs="仿宋"/>
                <w:color w:val="auto"/>
                <w:sz w:val="32"/>
                <w:szCs w:val="32"/>
                <w:lang w:eastAsia="zh-CN"/>
              </w:rPr>
              <w:t>年龄</w:t>
            </w:r>
            <w:r>
              <w:rPr>
                <w:rFonts w:hint="eastAsia" w:ascii="仿宋" w:hAnsi="仿宋" w:eastAsia="仿宋" w:cs="仿宋"/>
                <w:color w:val="auto"/>
                <w:sz w:val="32"/>
                <w:szCs w:val="32"/>
                <w:lang w:val="en-US" w:eastAsia="zh-CN"/>
              </w:rPr>
              <w:t>40岁以下，身心健康，服务期间须服从人事科工作安排，遵守医院各项规章制度。本项目原则上不允许更换工作人员，不允许请假，如确需请假，应提前三天通知科室负责人，并自行安排好替补人员，确保工作不间断进行。</w:t>
            </w:r>
          </w:p>
        </w:tc>
      </w:tr>
      <w:tr w14:paraId="1FB72B1F">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EC6FFDE">
            <w:pPr>
              <w:widowControl/>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设备要求</w:t>
            </w:r>
          </w:p>
        </w:tc>
        <w:tc>
          <w:tcPr>
            <w:tcW w:w="1134" w:type="dxa"/>
            <w:tcBorders>
              <w:top w:val="single" w:color="auto" w:sz="4" w:space="0"/>
              <w:left w:val="nil"/>
              <w:bottom w:val="single" w:color="auto" w:sz="4" w:space="0"/>
              <w:right w:val="single" w:color="auto" w:sz="4" w:space="0"/>
            </w:tcBorders>
            <w:vAlign w:val="center"/>
          </w:tcPr>
          <w:p w14:paraId="61A3BFC5">
            <w:pPr>
              <w:widowControl/>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p>
        </w:tc>
        <w:tc>
          <w:tcPr>
            <w:tcW w:w="7121" w:type="dxa"/>
            <w:tcBorders>
              <w:top w:val="single" w:color="auto" w:sz="4" w:space="0"/>
              <w:left w:val="nil"/>
              <w:bottom w:val="single" w:color="auto" w:sz="4" w:space="0"/>
              <w:right w:val="single" w:color="auto" w:sz="4" w:space="0"/>
            </w:tcBorders>
            <w:vAlign w:val="center"/>
          </w:tcPr>
          <w:p w14:paraId="1DD6FD7E">
            <w:p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自行配备运行良好的电脑、打印机、清晰的扫描仪。</w:t>
            </w:r>
          </w:p>
        </w:tc>
      </w:tr>
      <w:tr w14:paraId="4387962C">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验收标准</w:t>
            </w:r>
          </w:p>
        </w:tc>
        <w:tc>
          <w:tcPr>
            <w:tcW w:w="1134" w:type="dxa"/>
            <w:tcBorders>
              <w:top w:val="single" w:color="auto" w:sz="4" w:space="0"/>
              <w:left w:val="nil"/>
              <w:bottom w:val="single" w:color="auto" w:sz="4" w:space="0"/>
              <w:right w:val="single" w:color="auto" w:sz="4" w:space="0"/>
            </w:tcBorders>
            <w:vAlign w:val="center"/>
          </w:tcPr>
          <w:p w14:paraId="22BECC8A">
            <w:pPr>
              <w:widowControl/>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p>
        </w:tc>
        <w:tc>
          <w:tcPr>
            <w:tcW w:w="7121" w:type="dxa"/>
            <w:tcBorders>
              <w:top w:val="single" w:color="auto" w:sz="4" w:space="0"/>
              <w:left w:val="nil"/>
              <w:bottom w:val="single" w:color="auto" w:sz="4" w:space="0"/>
              <w:right w:val="single" w:color="auto" w:sz="4" w:space="0"/>
            </w:tcBorders>
            <w:vAlign w:val="center"/>
          </w:tcPr>
          <w:p w14:paraId="0CB9809C">
            <w:pPr>
              <w:pStyle w:val="20"/>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“鄂尔多斯市人事人才系统”的接续工龄工资变动审批通过且完成材料打印并归档。</w:t>
            </w:r>
          </w:p>
        </w:tc>
      </w:tr>
      <w:tr w14:paraId="013FD3B5">
        <w:tblPrEx>
          <w:tblCellMar>
            <w:top w:w="0" w:type="dxa"/>
            <w:left w:w="108" w:type="dxa"/>
            <w:bottom w:w="0" w:type="dxa"/>
            <w:right w:w="108" w:type="dxa"/>
          </w:tblCellMar>
        </w:tblPrEx>
        <w:trPr>
          <w:trHeight w:val="9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70DEE2">
            <w:pPr>
              <w:widowControl/>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保密规定</w:t>
            </w:r>
          </w:p>
        </w:tc>
        <w:tc>
          <w:tcPr>
            <w:tcW w:w="1134" w:type="dxa"/>
            <w:tcBorders>
              <w:top w:val="single" w:color="auto" w:sz="4" w:space="0"/>
              <w:left w:val="nil"/>
              <w:bottom w:val="single" w:color="auto" w:sz="4" w:space="0"/>
              <w:right w:val="single" w:color="auto" w:sz="4" w:space="0"/>
            </w:tcBorders>
            <w:vAlign w:val="center"/>
          </w:tcPr>
          <w:p w14:paraId="402381C2">
            <w:pPr>
              <w:widowControl/>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p>
        </w:tc>
        <w:tc>
          <w:tcPr>
            <w:tcW w:w="7121" w:type="dxa"/>
            <w:tcBorders>
              <w:top w:val="single" w:color="auto" w:sz="4" w:space="0"/>
              <w:left w:val="nil"/>
              <w:bottom w:val="single" w:color="auto" w:sz="4" w:space="0"/>
              <w:right w:val="single" w:color="auto" w:sz="4" w:space="0"/>
            </w:tcBorders>
            <w:vAlign w:val="center"/>
          </w:tcPr>
          <w:p w14:paraId="2D35BA7B">
            <w:pPr>
              <w:jc w:val="left"/>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中标供应商须与医院签订《保密协议》，对服务中知悉的所有信息永久保密，不得泄露。</w:t>
            </w:r>
          </w:p>
        </w:tc>
      </w:tr>
      <w:tr w14:paraId="0D7A45A7">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7FC5B1B">
            <w:pPr>
              <w:widowControl/>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服务内容</w:t>
            </w:r>
          </w:p>
        </w:tc>
        <w:tc>
          <w:tcPr>
            <w:tcW w:w="1134" w:type="dxa"/>
            <w:tcBorders>
              <w:top w:val="single" w:color="auto" w:sz="4" w:space="0"/>
              <w:left w:val="nil"/>
              <w:bottom w:val="single" w:color="auto" w:sz="4" w:space="0"/>
              <w:right w:val="single" w:color="auto" w:sz="4" w:space="0"/>
            </w:tcBorders>
            <w:vAlign w:val="center"/>
          </w:tcPr>
          <w:p w14:paraId="4DE8D9AB">
            <w:pPr>
              <w:widowControl/>
              <w:jc w:val="cente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w:t>
            </w:r>
          </w:p>
        </w:tc>
        <w:tc>
          <w:tcPr>
            <w:tcW w:w="7121" w:type="dxa"/>
            <w:tcBorders>
              <w:top w:val="single" w:color="auto" w:sz="4" w:space="0"/>
              <w:left w:val="nil"/>
              <w:bottom w:val="single" w:color="auto" w:sz="4" w:space="0"/>
              <w:right w:val="single" w:color="auto" w:sz="4" w:space="0"/>
            </w:tcBorders>
            <w:vAlign w:val="center"/>
          </w:tcPr>
          <w:p w14:paraId="5CC8E44A">
            <w:p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（1）信息核查与档案调取</w:t>
            </w:r>
          </w:p>
          <w:p w14:paraId="56555C6E">
            <w:p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根据我院人员信息表，调取对应员工人事档案；明确经历类型与时段，对照业务办理指南提取认定所需的原始档案材料。</w:t>
            </w:r>
          </w:p>
          <w:p w14:paraId="75AE3E0E">
            <w:pPr>
              <w:jc w:val="left"/>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（2）填写信息与材料整理</w:t>
            </w:r>
          </w:p>
          <w:p w14:paraId="52B02F81">
            <w:pPr>
              <w:jc w:val="left"/>
              <w:rPr>
                <w:rFonts w:hint="eastAsia" w:ascii="仿宋" w:hAnsi="仿宋" w:eastAsia="仿宋" w:cs="仿宋"/>
                <w:color w:val="auto"/>
                <w:sz w:val="32"/>
                <w:szCs w:val="32"/>
                <w:lang w:val="en-US" w:eastAsia="zh-CN"/>
              </w:rPr>
            </w:pPr>
            <w:r>
              <w:rPr>
                <w:rFonts w:hint="default" w:ascii="Calibri" w:hAnsi="Calibri" w:eastAsia="仿宋" w:cs="Calibri"/>
                <w:color w:val="auto"/>
                <w:sz w:val="28"/>
                <w:szCs w:val="28"/>
                <w:lang w:val="en-US" w:eastAsia="zh-CN"/>
              </w:rPr>
              <w:t>①</w:t>
            </w:r>
            <w:r>
              <w:rPr>
                <w:rFonts w:hint="eastAsia" w:ascii="仿宋" w:hAnsi="仿宋" w:eastAsia="仿宋" w:cs="仿宋"/>
                <w:color w:val="auto"/>
                <w:sz w:val="32"/>
                <w:szCs w:val="32"/>
                <w:lang w:val="en-US" w:eastAsia="zh-CN"/>
              </w:rPr>
              <w:t>按照相应规范要求，填写相关证明及审核材料：工作证明、劳动合同补充协议、工龄认定信息审核表、情况通知等。</w:t>
            </w:r>
          </w:p>
          <w:p w14:paraId="7D70646B">
            <w:pPr>
              <w:jc w:val="left"/>
              <w:rPr>
                <w:rFonts w:hint="eastAsia" w:ascii="仿宋" w:hAnsi="仿宋" w:eastAsia="仿宋" w:cs="仿宋"/>
                <w:color w:val="auto"/>
                <w:sz w:val="32"/>
                <w:szCs w:val="32"/>
                <w:lang w:val="en-US" w:eastAsia="zh-CN"/>
              </w:rPr>
            </w:pPr>
            <w:r>
              <w:rPr>
                <w:rFonts w:hint="default" w:ascii="Calibri" w:hAnsi="Calibri" w:eastAsia="仿宋" w:cs="Calibri"/>
                <w:color w:val="auto"/>
                <w:sz w:val="28"/>
                <w:szCs w:val="28"/>
                <w:lang w:val="en-US" w:eastAsia="zh-CN"/>
              </w:rPr>
              <w:t>②</w:t>
            </w:r>
            <w:r>
              <w:rPr>
                <w:rFonts w:hint="eastAsia" w:ascii="仿宋" w:hAnsi="仿宋" w:eastAsia="仿宋" w:cs="仿宋"/>
                <w:color w:val="auto"/>
                <w:sz w:val="32"/>
                <w:szCs w:val="32"/>
                <w:lang w:val="en-US" w:eastAsia="zh-CN"/>
              </w:rPr>
              <w:t>与职工本人沟通对接，对材料齐全的人员完成签字确认；对材料缺失、信息不全的人员，下达情况通知并指导补齐相关材料，务必通知到每一位职工。</w:t>
            </w:r>
          </w:p>
          <w:p w14:paraId="221A3B13">
            <w:pPr>
              <w:jc w:val="left"/>
              <w:rPr>
                <w:rFonts w:hint="eastAsia" w:ascii="仿宋" w:hAnsi="仿宋" w:eastAsia="仿宋" w:cs="仿宋"/>
                <w:color w:val="auto"/>
                <w:sz w:val="32"/>
                <w:szCs w:val="32"/>
                <w:lang w:val="en-US" w:eastAsia="zh-CN"/>
              </w:rPr>
            </w:pPr>
            <w:r>
              <w:rPr>
                <w:rFonts w:hint="default" w:ascii="Calibri" w:hAnsi="Calibri" w:eastAsia="仿宋" w:cs="Calibri"/>
                <w:color w:val="auto"/>
                <w:sz w:val="28"/>
                <w:szCs w:val="28"/>
                <w:lang w:val="en-US" w:eastAsia="zh-CN"/>
              </w:rPr>
              <w:t>③</w:t>
            </w:r>
            <w:r>
              <w:rPr>
                <w:rFonts w:hint="eastAsia" w:ascii="仿宋" w:hAnsi="仿宋" w:eastAsia="仿宋" w:cs="仿宋"/>
                <w:color w:val="auto"/>
                <w:sz w:val="32"/>
                <w:szCs w:val="32"/>
                <w:lang w:val="en-US" w:eastAsia="zh-CN"/>
              </w:rPr>
              <w:t>涉及补缴社保的职工（包含先退后补），需结合相应材料并与本人确认后再办理补缴业务；</w:t>
            </w:r>
            <w:r>
              <w:rPr>
                <w:rFonts w:hint="eastAsia" w:ascii="Calibri" w:hAnsi="Calibri" w:eastAsia="仿宋" w:cs="Calibri"/>
                <w:color w:val="auto"/>
                <w:sz w:val="32"/>
                <w:szCs w:val="32"/>
                <w:lang w:val="en-US" w:eastAsia="zh-CN"/>
              </w:rPr>
              <w:t>职工《个人参保缴费证明》</w:t>
            </w:r>
            <w:r>
              <w:rPr>
                <w:rFonts w:hint="eastAsia" w:ascii="仿宋" w:hAnsi="仿宋" w:eastAsia="仿宋" w:cs="仿宋"/>
                <w:color w:val="auto"/>
                <w:sz w:val="32"/>
                <w:szCs w:val="32"/>
                <w:lang w:val="en-US" w:eastAsia="zh-CN"/>
              </w:rPr>
              <w:t>出现的异常情况，须前往</w:t>
            </w:r>
            <w:r>
              <w:rPr>
                <w:rFonts w:hint="eastAsia" w:ascii="Calibri" w:hAnsi="Calibri" w:eastAsia="仿宋" w:cs="Calibri"/>
                <w:color w:val="auto"/>
                <w:sz w:val="32"/>
                <w:szCs w:val="32"/>
                <w:lang w:val="en-US" w:eastAsia="zh-CN"/>
              </w:rPr>
              <w:t>市</w:t>
            </w:r>
            <w:r>
              <w:rPr>
                <w:rFonts w:hint="eastAsia" w:ascii="仿宋" w:hAnsi="仿宋" w:eastAsia="仿宋" w:cs="仿宋"/>
                <w:color w:val="auto"/>
                <w:sz w:val="32"/>
                <w:szCs w:val="32"/>
                <w:lang w:val="en-US" w:eastAsia="zh-CN"/>
              </w:rPr>
              <w:t>社保服务中心业务窗口进行办理。</w:t>
            </w:r>
          </w:p>
          <w:p w14:paraId="12262568">
            <w:pPr>
              <w:jc w:val="left"/>
              <w:rPr>
                <w:rFonts w:hint="eastAsia" w:ascii="仿宋" w:hAnsi="仿宋" w:eastAsia="仿宋" w:cs="仿宋"/>
                <w:color w:val="auto"/>
                <w:sz w:val="32"/>
                <w:szCs w:val="32"/>
                <w:lang w:val="en-US" w:eastAsia="zh-CN"/>
              </w:rPr>
            </w:pPr>
            <w:r>
              <w:rPr>
                <w:rFonts w:hint="default" w:ascii="Calibri" w:hAnsi="Calibri" w:eastAsia="仿宋" w:cs="Calibri"/>
                <w:color w:val="auto"/>
                <w:sz w:val="28"/>
                <w:szCs w:val="28"/>
                <w:lang w:val="en-US" w:eastAsia="zh-CN"/>
              </w:rPr>
              <w:t>④</w:t>
            </w:r>
            <w:r>
              <w:rPr>
                <w:rFonts w:hint="eastAsia" w:ascii="仿宋" w:hAnsi="仿宋" w:eastAsia="仿宋" w:cs="仿宋"/>
                <w:color w:val="auto"/>
                <w:sz w:val="32"/>
                <w:szCs w:val="32"/>
                <w:lang w:val="en-US" w:eastAsia="zh-CN"/>
              </w:rPr>
              <w:t>与本院人事科相关工作人员及时沟通，特殊问题及时解决，定期汇报工作进度，处理反馈问题，落实闭环整改。</w:t>
            </w:r>
          </w:p>
          <w:p w14:paraId="098468B3">
            <w:p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（3）重点人员跟进</w:t>
            </w:r>
          </w:p>
          <w:p w14:paraId="77032468">
            <w:p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对材料问题较多的重点人员建立专项台账，实行重点跟踪与多次沟通确认，主动协助梳理问题、补充材料、协调办理。</w:t>
            </w:r>
          </w:p>
          <w:p w14:paraId="3C3E5F66">
            <w:p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（4）工龄认定业务审批</w:t>
            </w:r>
          </w:p>
          <w:p w14:paraId="0B2D15EF">
            <w:p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工龄认定材料经卫健委人事科线下审批通过后，须在市人社系统中规范上传所需全部材料；待线上审批通过后打印《职工计算工龄审批表》。</w:t>
            </w:r>
          </w:p>
          <w:p w14:paraId="6512EEB9">
            <w:pPr>
              <w:pStyle w:val="2"/>
              <w:numPr>
                <w:ilvl w:val="0"/>
                <w:numId w:val="3"/>
              </w:numP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接续工龄工资变动审批</w:t>
            </w:r>
          </w:p>
          <w:p w14:paraId="1B6E4FF8">
            <w:pPr>
              <w:pStyle w:val="2"/>
              <w:numPr>
                <w:ilvl w:val="0"/>
                <w:numId w:val="0"/>
              </w:numPr>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在人社系统填写工资变动信息并上传《职工计算工龄审批表》、学历信息、整本工资档案、聘岗文件或聘岗备案表。</w:t>
            </w:r>
          </w:p>
          <w:p w14:paraId="1EE7184B">
            <w:p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（6）档案归卷与整理归档</w:t>
            </w:r>
          </w:p>
          <w:p w14:paraId="441AE6AA">
            <w:p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将最终审批通过人员的全部材料归回至人事档案中，实现档案材料齐全、有序、可查。</w:t>
            </w:r>
          </w:p>
        </w:tc>
      </w:tr>
    </w:tbl>
    <w:p w14:paraId="630842D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8750061">
      <w:pPr>
        <w:pStyle w:val="2"/>
        <w:rPr>
          <w:rFonts w:hint="eastAsia" w:ascii="宋体" w:hAnsi="宋体" w:eastAsia="宋体" w:cs="宋体"/>
          <w:b/>
          <w:bCs/>
          <w:sz w:val="28"/>
          <w:szCs w:val="28"/>
          <w:lang w:val="en-US" w:eastAsia="zh-CN"/>
        </w:rPr>
      </w:pPr>
    </w:p>
    <w:p w14:paraId="5D7DFB06">
      <w:pPr>
        <w:pStyle w:val="2"/>
        <w:rPr>
          <w:rFonts w:hint="eastAsia" w:ascii="宋体" w:hAnsi="宋体" w:eastAsia="宋体" w:cs="宋体"/>
          <w:b/>
          <w:bCs/>
          <w:sz w:val="28"/>
          <w:szCs w:val="28"/>
          <w:lang w:val="en-US" w:eastAsia="zh-CN"/>
        </w:rPr>
      </w:pPr>
    </w:p>
    <w:p w14:paraId="077171B0">
      <w:pPr>
        <w:pStyle w:val="2"/>
        <w:rPr>
          <w:rFonts w:hint="eastAsia" w:ascii="宋体" w:hAnsi="宋体" w:eastAsia="宋体" w:cs="宋体"/>
          <w:b/>
          <w:bCs/>
          <w:sz w:val="28"/>
          <w:szCs w:val="28"/>
          <w:lang w:val="en-US" w:eastAsia="zh-CN"/>
        </w:rPr>
      </w:pPr>
    </w:p>
    <w:p w14:paraId="24001D4A">
      <w:pPr>
        <w:pStyle w:val="2"/>
        <w:rPr>
          <w:rFonts w:hint="eastAsia" w:ascii="宋体" w:hAnsi="宋体" w:eastAsia="宋体" w:cs="宋体"/>
          <w:b/>
          <w:bCs/>
          <w:sz w:val="28"/>
          <w:szCs w:val="28"/>
          <w:lang w:val="en-US" w:eastAsia="zh-CN"/>
        </w:rPr>
      </w:pPr>
    </w:p>
    <w:p w14:paraId="5471AC89">
      <w:pPr>
        <w:pStyle w:val="2"/>
        <w:rPr>
          <w:rFonts w:hint="eastAsia" w:ascii="宋体" w:hAnsi="宋体" w:eastAsia="宋体" w:cs="宋体"/>
          <w:b/>
          <w:bCs/>
          <w:sz w:val="28"/>
          <w:szCs w:val="28"/>
          <w:lang w:val="en-US" w:eastAsia="zh-CN"/>
        </w:rPr>
      </w:pPr>
    </w:p>
    <w:p w14:paraId="5B7F1BE6">
      <w:pPr>
        <w:pStyle w:val="2"/>
        <w:rPr>
          <w:rFonts w:hint="eastAsia" w:ascii="宋体" w:hAnsi="宋体" w:eastAsia="宋体" w:cs="宋体"/>
          <w:b/>
          <w:bCs/>
          <w:sz w:val="28"/>
          <w:szCs w:val="28"/>
          <w:lang w:val="en-US" w:eastAsia="zh-CN"/>
        </w:rPr>
      </w:pPr>
    </w:p>
    <w:p w14:paraId="18145889">
      <w:pPr>
        <w:pStyle w:val="2"/>
        <w:rPr>
          <w:rFonts w:hint="eastAsia" w:ascii="宋体" w:hAnsi="宋体" w:eastAsia="宋体" w:cs="宋体"/>
          <w:b/>
          <w:bCs/>
          <w:sz w:val="28"/>
          <w:szCs w:val="28"/>
          <w:lang w:val="en-US" w:eastAsia="zh-CN"/>
        </w:rPr>
      </w:pPr>
    </w:p>
    <w:p w14:paraId="170B9F38">
      <w:pPr>
        <w:pStyle w:val="2"/>
        <w:rPr>
          <w:rFonts w:hint="eastAsia" w:ascii="宋体" w:hAnsi="宋体" w:eastAsia="宋体" w:cs="宋体"/>
          <w:b/>
          <w:bCs/>
          <w:sz w:val="28"/>
          <w:szCs w:val="28"/>
          <w:lang w:val="en-US" w:eastAsia="zh-CN"/>
        </w:rPr>
      </w:pPr>
    </w:p>
    <w:p w14:paraId="7E3F5497">
      <w:pPr>
        <w:pStyle w:val="2"/>
        <w:rPr>
          <w:rFonts w:hint="eastAsia" w:ascii="宋体" w:hAnsi="宋体" w:eastAsia="宋体" w:cs="宋体"/>
          <w:b/>
          <w:bCs/>
          <w:sz w:val="28"/>
          <w:szCs w:val="28"/>
          <w:lang w:val="en-US" w:eastAsia="zh-CN"/>
        </w:rPr>
      </w:pPr>
    </w:p>
    <w:p w14:paraId="7C3F5DAA">
      <w:pPr>
        <w:pStyle w:val="2"/>
        <w:rPr>
          <w:rFonts w:hint="eastAsia" w:ascii="宋体" w:hAnsi="宋体" w:eastAsia="宋体" w:cs="宋体"/>
          <w:b/>
          <w:bCs/>
          <w:sz w:val="28"/>
          <w:szCs w:val="28"/>
          <w:lang w:val="en-US" w:eastAsia="zh-CN"/>
        </w:rPr>
      </w:pPr>
    </w:p>
    <w:p w14:paraId="07169AC3">
      <w:pPr>
        <w:pStyle w:val="2"/>
        <w:rPr>
          <w:rFonts w:hint="eastAsia" w:ascii="宋体" w:hAnsi="宋体" w:eastAsia="宋体" w:cs="宋体"/>
          <w:b/>
          <w:bCs/>
          <w:sz w:val="28"/>
          <w:szCs w:val="28"/>
          <w:lang w:val="en-US" w:eastAsia="zh-CN"/>
        </w:rPr>
      </w:pPr>
    </w:p>
    <w:p w14:paraId="246ADA23">
      <w:pPr>
        <w:pStyle w:val="2"/>
        <w:rPr>
          <w:rFonts w:hint="eastAsia" w:ascii="宋体" w:hAnsi="宋体" w:eastAsia="宋体" w:cs="宋体"/>
          <w:b/>
          <w:bCs/>
          <w:sz w:val="28"/>
          <w:szCs w:val="28"/>
          <w:lang w:val="en-US" w:eastAsia="zh-CN"/>
        </w:rPr>
      </w:pPr>
    </w:p>
    <w:p w14:paraId="5FE9A0C6">
      <w:pPr>
        <w:pStyle w:val="2"/>
        <w:rPr>
          <w:rFonts w:hint="eastAsia" w:ascii="宋体" w:hAnsi="宋体" w:eastAsia="宋体" w:cs="宋体"/>
          <w:b/>
          <w:bCs/>
          <w:sz w:val="28"/>
          <w:szCs w:val="28"/>
          <w:lang w:val="en-US" w:eastAsia="zh-CN"/>
        </w:rPr>
      </w:pPr>
    </w:p>
    <w:p w14:paraId="6C1DF2F6">
      <w:pPr>
        <w:pStyle w:val="2"/>
        <w:rPr>
          <w:rFonts w:hint="eastAsia" w:ascii="宋体" w:hAnsi="宋体" w:eastAsia="宋体" w:cs="宋体"/>
          <w:b/>
          <w:bCs/>
          <w:sz w:val="28"/>
          <w:szCs w:val="28"/>
          <w:lang w:val="en-US" w:eastAsia="zh-CN"/>
        </w:rPr>
      </w:pPr>
    </w:p>
    <w:p w14:paraId="720C1971">
      <w:pPr>
        <w:pStyle w:val="2"/>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6"/>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7AC696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表2 综合评审表</w:t>
      </w:r>
    </w:p>
    <w:tbl>
      <w:tblPr>
        <w:tblStyle w:val="16"/>
        <w:tblW w:w="101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9"/>
        <w:gridCol w:w="1647"/>
        <w:gridCol w:w="7575"/>
      </w:tblGrid>
      <w:tr w14:paraId="0455B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682F749D">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评</w:t>
            </w:r>
            <w:r>
              <w:rPr>
                <w:rFonts w:hint="eastAsia" w:ascii="宋体" w:hAnsi="宋体" w:eastAsia="宋体" w:cs="宋体"/>
                <w:sz w:val="24"/>
                <w:szCs w:val="24"/>
              </w:rPr>
              <w:t>审</w:t>
            </w:r>
          </w:p>
          <w:p w14:paraId="7F999FC5">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因素</w:t>
            </w:r>
          </w:p>
        </w:tc>
        <w:tc>
          <w:tcPr>
            <w:tcW w:w="9222" w:type="dxa"/>
            <w:gridSpan w:val="2"/>
            <w:tcBorders>
              <w:top w:val="single" w:color="000000" w:sz="2" w:space="0"/>
              <w:left w:val="single" w:color="000000" w:sz="4" w:space="0"/>
              <w:bottom w:val="single" w:color="000000" w:sz="2" w:space="0"/>
              <w:right w:val="single" w:color="000000" w:sz="4" w:space="0"/>
            </w:tcBorders>
            <w:vAlign w:val="center"/>
          </w:tcPr>
          <w:p w14:paraId="4393489E">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pacing w:val="-1"/>
                <w:sz w:val="24"/>
                <w:szCs w:val="24"/>
              </w:rPr>
              <w:t>评</w:t>
            </w:r>
            <w:r>
              <w:rPr>
                <w:rFonts w:hint="eastAsia" w:ascii="宋体" w:hAnsi="宋体" w:eastAsia="宋体" w:cs="宋体"/>
                <w:sz w:val="24"/>
                <w:szCs w:val="24"/>
              </w:rPr>
              <w:t>审标准</w:t>
            </w:r>
          </w:p>
        </w:tc>
      </w:tr>
      <w:tr w14:paraId="06E15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68A32CA3">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分值</w:t>
            </w:r>
          </w:p>
          <w:p w14:paraId="56F458EF">
            <w:pPr>
              <w:kinsoku w:val="0"/>
              <w:autoSpaceDE w:val="0"/>
              <w:autoSpaceDN w:val="0"/>
              <w:adjustRightInd w:val="0"/>
              <w:snapToGrid w:val="0"/>
              <w:jc w:val="center"/>
              <w:textAlignment w:val="baseline"/>
              <w:rPr>
                <w:rFonts w:hint="eastAsia" w:ascii="宋体" w:hAnsi="宋体" w:eastAsia="宋体" w:cs="宋体"/>
                <w:position w:val="14"/>
                <w:sz w:val="24"/>
                <w:szCs w:val="24"/>
              </w:rPr>
            </w:pPr>
            <w:r>
              <w:rPr>
                <w:rFonts w:hint="eastAsia" w:ascii="宋体" w:hAnsi="宋体" w:eastAsia="宋体" w:cs="宋体"/>
                <w:spacing w:val="-1"/>
                <w:sz w:val="24"/>
                <w:szCs w:val="24"/>
              </w:rPr>
              <w:t>构成</w:t>
            </w:r>
          </w:p>
        </w:tc>
        <w:tc>
          <w:tcPr>
            <w:tcW w:w="9222" w:type="dxa"/>
            <w:gridSpan w:val="2"/>
            <w:tcBorders>
              <w:top w:val="single" w:color="000000" w:sz="2" w:space="0"/>
              <w:left w:val="single" w:color="000000" w:sz="4" w:space="0"/>
              <w:bottom w:val="single" w:color="000000" w:sz="2" w:space="0"/>
              <w:right w:val="single" w:color="000000" w:sz="4" w:space="0"/>
            </w:tcBorders>
            <w:vAlign w:val="center"/>
          </w:tcPr>
          <w:p w14:paraId="77049BFE">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报价得分20分；技术部分70分；商务部分10分</w:t>
            </w:r>
          </w:p>
        </w:tc>
      </w:tr>
      <w:tr w14:paraId="366A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5"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0CEAF629">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报价</w:t>
            </w:r>
          </w:p>
          <w:p w14:paraId="2CF236BF">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部分</w:t>
            </w:r>
          </w:p>
          <w:p w14:paraId="632B0B89">
            <w:pPr>
              <w:pStyle w:val="8"/>
              <w:rPr>
                <w:rFonts w:hint="eastAsia" w:ascii="宋体" w:hAnsi="宋体" w:eastAsia="宋体" w:cs="宋体"/>
                <w:sz w:val="24"/>
                <w:szCs w:val="24"/>
              </w:rPr>
            </w:pPr>
            <w:r>
              <w:rPr>
                <w:rFonts w:hint="eastAsia" w:ascii="宋体" w:hAnsi="宋体" w:eastAsia="宋体" w:cs="宋体"/>
                <w:spacing w:val="-1"/>
                <w:sz w:val="24"/>
                <w:szCs w:val="24"/>
                <w:lang w:val="en-US"/>
              </w:rPr>
              <w:t>（20分）</w:t>
            </w:r>
          </w:p>
        </w:tc>
        <w:tc>
          <w:tcPr>
            <w:tcW w:w="1647" w:type="dxa"/>
            <w:tcBorders>
              <w:top w:val="single" w:color="000000" w:sz="2" w:space="0"/>
              <w:left w:val="single" w:color="000000" w:sz="4" w:space="0"/>
              <w:bottom w:val="single" w:color="000000" w:sz="2" w:space="0"/>
              <w:right w:val="single" w:color="auto" w:sz="4" w:space="0"/>
            </w:tcBorders>
            <w:vAlign w:val="center"/>
          </w:tcPr>
          <w:p w14:paraId="056671EC">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报价</w:t>
            </w:r>
          </w:p>
          <w:p w14:paraId="462D1478">
            <w:pPr>
              <w:kinsoku w:val="0"/>
              <w:autoSpaceDE w:val="0"/>
              <w:autoSpaceDN w:val="0"/>
              <w:adjustRightInd w:val="0"/>
              <w:snapToGrid w:val="0"/>
              <w:jc w:val="center"/>
              <w:textAlignment w:val="baseline"/>
              <w:rPr>
                <w:rFonts w:hint="eastAsia" w:ascii="宋体" w:hAnsi="宋体" w:eastAsia="宋体" w:cs="宋体"/>
                <w:snapToGrid w:val="0"/>
                <w:color w:val="000000"/>
                <w:position w:val="14"/>
                <w:sz w:val="24"/>
                <w:szCs w:val="24"/>
              </w:rPr>
            </w:pPr>
            <w:r>
              <w:rPr>
                <w:rFonts w:hint="eastAsia" w:ascii="宋体" w:hAnsi="宋体" w:eastAsia="宋体" w:cs="宋体"/>
                <w:color w:val="000000"/>
                <w:position w:val="14"/>
                <w:sz w:val="24"/>
                <w:szCs w:val="24"/>
              </w:rPr>
              <w:t>（20分）</w:t>
            </w:r>
          </w:p>
        </w:tc>
        <w:tc>
          <w:tcPr>
            <w:tcW w:w="7575" w:type="dxa"/>
            <w:tcBorders>
              <w:top w:val="single" w:color="000000" w:sz="2" w:space="0"/>
              <w:left w:val="single" w:color="auto" w:sz="4" w:space="0"/>
              <w:bottom w:val="single" w:color="000000" w:sz="2" w:space="0"/>
              <w:right w:val="single" w:color="000000" w:sz="4" w:space="0"/>
            </w:tcBorders>
            <w:vAlign w:val="center"/>
          </w:tcPr>
          <w:p w14:paraId="4A77201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投标报价得分＝（评标基准价/投标报价）×价格分值</w:t>
            </w:r>
          </w:p>
          <w:p w14:paraId="57175D7C">
            <w:pPr>
              <w:kinsoku w:val="0"/>
              <w:autoSpaceDE w:val="0"/>
              <w:autoSpaceDN w:val="0"/>
              <w:adjustRightInd w:val="0"/>
              <w:snapToGrid w:val="0"/>
              <w:jc w:val="left"/>
              <w:textAlignment w:val="baseline"/>
              <w:rPr>
                <w:rFonts w:hint="eastAsia" w:ascii="宋体" w:hAnsi="宋体" w:eastAsia="宋体" w:cs="宋体"/>
                <w:snapToGrid w:val="0"/>
                <w:position w:val="14"/>
                <w:sz w:val="24"/>
                <w:szCs w:val="24"/>
              </w:rPr>
            </w:pPr>
            <w:r>
              <w:rPr>
                <w:rFonts w:hint="eastAsia" w:ascii="宋体" w:hAnsi="宋体" w:eastAsia="宋体" w:cs="宋体"/>
                <w:position w:val="14"/>
                <w:sz w:val="24"/>
                <w:szCs w:val="24"/>
              </w:rPr>
              <w:t>【注：满足招标文件要求且投标价格最低的投标报价为评标基准价】最低报价不是中标的唯一依据。</w:t>
            </w:r>
          </w:p>
        </w:tc>
      </w:tr>
      <w:tr w14:paraId="255CB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3" w:hRule="atLeast"/>
          <w:jc w:val="center"/>
        </w:trPr>
        <w:tc>
          <w:tcPr>
            <w:tcW w:w="959" w:type="dxa"/>
            <w:vMerge w:val="restart"/>
            <w:tcBorders>
              <w:top w:val="single" w:color="000000" w:sz="2" w:space="0"/>
              <w:left w:val="single" w:color="000000" w:sz="4" w:space="0"/>
              <w:bottom w:val="nil"/>
              <w:right w:val="single" w:color="000000" w:sz="4" w:space="0"/>
            </w:tcBorders>
            <w:vAlign w:val="center"/>
          </w:tcPr>
          <w:p w14:paraId="266454D1">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技术</w:t>
            </w:r>
          </w:p>
          <w:p w14:paraId="72169B28">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部分</w:t>
            </w:r>
          </w:p>
          <w:p w14:paraId="684B4770">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（70分）</w:t>
            </w:r>
          </w:p>
        </w:tc>
        <w:tc>
          <w:tcPr>
            <w:tcW w:w="1647" w:type="dxa"/>
            <w:tcBorders>
              <w:top w:val="single" w:color="000000" w:sz="2" w:space="0"/>
              <w:left w:val="single" w:color="000000" w:sz="4" w:space="0"/>
              <w:bottom w:val="single" w:color="000000" w:sz="2" w:space="0"/>
              <w:right w:val="single" w:color="auto" w:sz="4" w:space="0"/>
            </w:tcBorders>
            <w:vAlign w:val="center"/>
          </w:tcPr>
          <w:p w14:paraId="2B0081E9">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ascii="宋体" w:hAnsi="宋体" w:eastAsia="宋体" w:cs="宋体"/>
                <w:color w:val="000000"/>
                <w:position w:val="14"/>
                <w:sz w:val="24"/>
                <w:szCs w:val="24"/>
              </w:rPr>
              <w:t>服务实施方案</w:t>
            </w:r>
            <w:r>
              <w:rPr>
                <w:rFonts w:hint="eastAsia" w:ascii="宋体" w:hAnsi="宋体" w:eastAsia="宋体" w:cs="宋体"/>
                <w:color w:val="000000"/>
                <w:position w:val="14"/>
                <w:sz w:val="24"/>
                <w:szCs w:val="24"/>
              </w:rPr>
              <w:t>（10分）</w:t>
            </w:r>
          </w:p>
          <w:p w14:paraId="4D84828A">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p>
        </w:tc>
        <w:tc>
          <w:tcPr>
            <w:tcW w:w="7575" w:type="dxa"/>
            <w:tcBorders>
              <w:top w:val="single" w:color="000000" w:sz="2" w:space="0"/>
              <w:left w:val="single" w:color="auto" w:sz="4" w:space="0"/>
              <w:bottom w:val="single" w:color="000000" w:sz="2" w:space="0"/>
              <w:right w:val="single" w:color="000000" w:sz="4" w:space="0"/>
            </w:tcBorders>
            <w:vAlign w:val="center"/>
          </w:tcPr>
          <w:p w14:paraId="6F90B921">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投标人提供</w:t>
            </w:r>
            <w:r>
              <w:rPr>
                <w:rFonts w:hint="eastAsia" w:ascii="宋体" w:hAnsi="宋体" w:eastAsia="宋体" w:cs="宋体"/>
                <w:color w:val="000000"/>
                <w:position w:val="14"/>
                <w:sz w:val="24"/>
                <w:szCs w:val="24"/>
                <w:lang w:eastAsia="zh-CN"/>
              </w:rPr>
              <w:t>职工从业年限</w:t>
            </w:r>
            <w:r>
              <w:rPr>
                <w:rFonts w:ascii="宋体" w:hAnsi="宋体" w:eastAsia="宋体" w:cs="宋体"/>
                <w:color w:val="000000"/>
                <w:position w:val="14"/>
                <w:sz w:val="24"/>
                <w:szCs w:val="24"/>
              </w:rPr>
              <w:t>认定</w:t>
            </w:r>
            <w:r>
              <w:rPr>
                <w:rFonts w:hint="eastAsia" w:ascii="宋体" w:hAnsi="宋体" w:eastAsia="宋体" w:cs="宋体"/>
                <w:color w:val="000000"/>
                <w:position w:val="14"/>
                <w:sz w:val="24"/>
                <w:szCs w:val="24"/>
                <w:lang w:eastAsia="zh-CN"/>
              </w:rPr>
              <w:t>服务</w:t>
            </w:r>
            <w:r>
              <w:rPr>
                <w:rFonts w:ascii="宋体" w:hAnsi="宋体" w:eastAsia="宋体" w:cs="宋体"/>
                <w:color w:val="000000"/>
                <w:position w:val="14"/>
                <w:sz w:val="24"/>
                <w:szCs w:val="24"/>
              </w:rPr>
              <w:t>工作全流程（信息核查与档案调取、材料填制与收集、沟通对接与核验、审批上传、档案归卷）提交的实施方案：</w:t>
            </w:r>
            <w:r>
              <w:rPr>
                <w:rFonts w:hint="eastAsia" w:ascii="宋体" w:hAnsi="宋体" w:eastAsia="宋体" w:cs="宋体"/>
                <w:color w:val="000000"/>
                <w:position w:val="14"/>
                <w:sz w:val="24"/>
                <w:szCs w:val="24"/>
              </w:rPr>
              <w:t>提供方案者，得基础分7分。</w:t>
            </w:r>
          </w:p>
          <w:p w14:paraId="1E1B0E64">
            <w:pPr>
              <w:kinsoku w:val="0"/>
              <w:autoSpaceDE w:val="0"/>
              <w:autoSpaceDN w:val="0"/>
              <w:adjustRightInd w:val="0"/>
              <w:snapToGrid w:val="0"/>
              <w:jc w:val="left"/>
              <w:textAlignment w:val="baseline"/>
              <w:rPr>
                <w:rFonts w:hint="eastAsia" w:ascii="宋体" w:hAnsi="宋体" w:eastAsia="宋体" w:cs="宋体"/>
                <w:b/>
                <w:bCs/>
                <w:color w:val="000000"/>
                <w:position w:val="14"/>
                <w:sz w:val="24"/>
                <w:szCs w:val="24"/>
              </w:rPr>
            </w:pPr>
            <w:r>
              <w:rPr>
                <w:rFonts w:hint="eastAsia" w:ascii="宋体" w:hAnsi="宋体" w:eastAsia="宋体" w:cs="宋体"/>
                <w:b/>
                <w:bCs/>
                <w:color w:val="000000"/>
                <w:position w:val="14"/>
                <w:sz w:val="24"/>
                <w:szCs w:val="24"/>
              </w:rPr>
              <w:t>额外加分标准：</w:t>
            </w:r>
          </w:p>
          <w:p w14:paraId="0F03DF48">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ascii="宋体" w:hAnsi="宋体" w:eastAsia="宋体" w:cs="宋体"/>
                <w:color w:val="000000"/>
                <w:position w:val="14"/>
                <w:sz w:val="24"/>
                <w:szCs w:val="24"/>
              </w:rPr>
              <w:t>流程覆盖完整、环节无遗漏并配有流程图或进度节点</w:t>
            </w:r>
            <w:r>
              <w:rPr>
                <w:rFonts w:hint="eastAsia" w:ascii="宋体" w:hAnsi="宋体" w:eastAsia="宋体" w:cs="宋体"/>
                <w:color w:val="000000"/>
                <w:position w:val="14"/>
                <w:sz w:val="24"/>
                <w:szCs w:val="24"/>
              </w:rPr>
              <w:t>，得3分；</w:t>
            </w:r>
          </w:p>
          <w:p w14:paraId="2299958A">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ascii="宋体" w:hAnsi="宋体" w:eastAsia="宋体" w:cs="宋体"/>
                <w:color w:val="000000"/>
                <w:position w:val="14"/>
                <w:sz w:val="24"/>
                <w:szCs w:val="24"/>
              </w:rPr>
              <w:t>流程基本完整、个别环节描述粗略</w:t>
            </w:r>
            <w:r>
              <w:rPr>
                <w:rFonts w:hint="eastAsia" w:ascii="宋体" w:hAnsi="宋体" w:eastAsia="宋体" w:cs="宋体"/>
                <w:color w:val="000000"/>
                <w:position w:val="14"/>
                <w:sz w:val="24"/>
                <w:szCs w:val="24"/>
              </w:rPr>
              <w:t>，得2分</w:t>
            </w:r>
            <w:bookmarkStart w:id="0" w:name="OLE_LINK1"/>
            <w:r>
              <w:rPr>
                <w:rFonts w:hint="eastAsia" w:ascii="宋体" w:hAnsi="宋体" w:eastAsia="宋体" w:cs="宋体"/>
                <w:color w:val="000000"/>
                <w:position w:val="14"/>
                <w:sz w:val="24"/>
                <w:szCs w:val="24"/>
              </w:rPr>
              <w:t>；</w:t>
            </w:r>
            <w:bookmarkEnd w:id="0"/>
          </w:p>
          <w:p w14:paraId="790A9470">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ascii="宋体" w:hAnsi="宋体" w:eastAsia="宋体" w:cs="宋体"/>
                <w:color w:val="000000"/>
                <w:position w:val="14"/>
                <w:sz w:val="24"/>
                <w:szCs w:val="24"/>
              </w:rPr>
              <w:t>流程缺项较多、无进度安排的</w:t>
            </w:r>
            <w:r>
              <w:rPr>
                <w:rFonts w:hint="eastAsia" w:ascii="宋体" w:hAnsi="宋体" w:eastAsia="宋体" w:cs="宋体"/>
                <w:color w:val="000000"/>
                <w:position w:val="14"/>
                <w:sz w:val="24"/>
                <w:szCs w:val="24"/>
              </w:rPr>
              <w:t>，得1分；</w:t>
            </w:r>
          </w:p>
          <w:p w14:paraId="25ED8D91">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未提供，不得分。</w:t>
            </w:r>
          </w:p>
        </w:tc>
      </w:tr>
      <w:tr w14:paraId="67116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8" w:hRule="atLeast"/>
          <w:jc w:val="center"/>
        </w:trPr>
        <w:tc>
          <w:tcPr>
            <w:tcW w:w="959" w:type="dxa"/>
            <w:vMerge w:val="continue"/>
            <w:tcBorders>
              <w:left w:val="single" w:color="000000" w:sz="4" w:space="0"/>
              <w:right w:val="single" w:color="000000" w:sz="4" w:space="0"/>
            </w:tcBorders>
            <w:vAlign w:val="center"/>
          </w:tcPr>
          <w:p w14:paraId="70F238E7">
            <w:pPr>
              <w:kinsoku w:val="0"/>
              <w:autoSpaceDE w:val="0"/>
              <w:autoSpaceDN w:val="0"/>
              <w:adjustRightInd w:val="0"/>
              <w:snapToGrid w:val="0"/>
              <w:jc w:val="center"/>
              <w:textAlignment w:val="baseline"/>
              <w:rPr>
                <w:rFonts w:hint="eastAsia" w:ascii="宋体" w:hAnsi="宋体" w:eastAsia="宋体" w:cs="宋体"/>
                <w:spacing w:val="-1"/>
                <w:sz w:val="24"/>
                <w:szCs w:val="24"/>
              </w:rPr>
            </w:pPr>
          </w:p>
        </w:tc>
        <w:tc>
          <w:tcPr>
            <w:tcW w:w="1647" w:type="dxa"/>
            <w:tcBorders>
              <w:top w:val="single" w:color="000000" w:sz="2" w:space="0"/>
              <w:left w:val="single" w:color="000000" w:sz="4" w:space="0"/>
              <w:bottom w:val="single" w:color="000000" w:sz="2" w:space="0"/>
              <w:right w:val="single" w:color="auto" w:sz="4" w:space="0"/>
            </w:tcBorders>
            <w:vAlign w:val="center"/>
          </w:tcPr>
          <w:p w14:paraId="177DEDE2">
            <w:pPr>
              <w:kinsoku w:val="0"/>
              <w:autoSpaceDE w:val="0"/>
              <w:autoSpaceDN w:val="0"/>
              <w:adjustRightInd w:val="0"/>
              <w:snapToGrid w:val="0"/>
              <w:textAlignment w:val="baseline"/>
              <w:rPr>
                <w:rFonts w:hint="eastAsia" w:ascii="宋体" w:hAnsi="宋体" w:eastAsia="宋体" w:cs="宋体"/>
                <w:color w:val="000000"/>
                <w:position w:val="14"/>
                <w:sz w:val="24"/>
                <w:szCs w:val="24"/>
              </w:rPr>
            </w:pPr>
            <w:r>
              <w:rPr>
                <w:rFonts w:ascii="宋体" w:hAnsi="宋体" w:eastAsia="宋体" w:cs="宋体"/>
                <w:color w:val="000000"/>
                <w:position w:val="14"/>
                <w:sz w:val="24"/>
                <w:szCs w:val="24"/>
              </w:rPr>
              <w:t>人员配置与项目团队</w:t>
            </w:r>
            <w:r>
              <w:rPr>
                <w:rFonts w:hint="eastAsia" w:ascii="宋体" w:hAnsi="宋体" w:eastAsia="宋体" w:cs="宋体"/>
                <w:color w:val="000000"/>
                <w:position w:val="14"/>
                <w:sz w:val="24"/>
                <w:szCs w:val="24"/>
              </w:rPr>
              <w:t>（1</w:t>
            </w:r>
            <w:r>
              <w:rPr>
                <w:rFonts w:hint="eastAsia" w:ascii="宋体" w:hAnsi="宋体" w:eastAsia="宋体" w:cs="宋体"/>
                <w:color w:val="000000"/>
                <w:position w:val="14"/>
                <w:sz w:val="24"/>
                <w:szCs w:val="24"/>
                <w:lang w:val="en-US" w:eastAsia="zh-CN"/>
              </w:rPr>
              <w:t>2</w:t>
            </w:r>
            <w:r>
              <w:rPr>
                <w:rFonts w:hint="eastAsia" w:ascii="宋体" w:hAnsi="宋体" w:eastAsia="宋体" w:cs="宋体"/>
                <w:color w:val="000000"/>
                <w:position w:val="14"/>
                <w:sz w:val="24"/>
                <w:szCs w:val="24"/>
              </w:rPr>
              <w:t>分）</w:t>
            </w:r>
          </w:p>
        </w:tc>
        <w:tc>
          <w:tcPr>
            <w:tcW w:w="7575" w:type="dxa"/>
            <w:tcBorders>
              <w:top w:val="single" w:color="000000" w:sz="2" w:space="0"/>
              <w:left w:val="single" w:color="auto" w:sz="4" w:space="0"/>
              <w:bottom w:val="single" w:color="000000" w:sz="2" w:space="0"/>
              <w:right w:val="single" w:color="000000" w:sz="4" w:space="0"/>
            </w:tcBorders>
            <w:vAlign w:val="center"/>
          </w:tcPr>
          <w:p w14:paraId="19CED807">
            <w:pPr>
              <w:kinsoku w:val="0"/>
              <w:autoSpaceDE w:val="0"/>
              <w:autoSpaceDN w:val="0"/>
              <w:adjustRightInd w:val="0"/>
              <w:snapToGrid w:val="0"/>
              <w:textAlignment w:val="baseline"/>
              <w:rPr>
                <w:rFonts w:hint="default" w:ascii="宋体" w:hAnsi="宋体" w:eastAsia="宋体" w:cs="宋体"/>
                <w:color w:val="000000"/>
                <w:position w:val="14"/>
                <w:sz w:val="24"/>
                <w:szCs w:val="24"/>
                <w:highlight w:val="none"/>
                <w:lang w:val="en-US" w:eastAsia="zh-CN"/>
              </w:rPr>
            </w:pPr>
            <w:r>
              <w:rPr>
                <w:rFonts w:hint="eastAsia" w:ascii="宋体" w:hAnsi="宋体" w:eastAsia="宋体" w:cs="宋体"/>
                <w:color w:val="000000"/>
                <w:position w:val="14"/>
                <w:sz w:val="24"/>
                <w:szCs w:val="24"/>
                <w:highlight w:val="none"/>
              </w:rPr>
              <w:t>①投入本项目工作人员总数≥</w:t>
            </w:r>
            <w:r>
              <w:rPr>
                <w:rFonts w:ascii="宋体" w:hAnsi="宋体" w:eastAsia="宋体" w:cs="宋体"/>
                <w:color w:val="000000"/>
                <w:position w:val="14"/>
                <w:sz w:val="24"/>
                <w:szCs w:val="24"/>
                <w:highlight w:val="none"/>
              </w:rPr>
              <w:t>7</w:t>
            </w:r>
            <w:r>
              <w:rPr>
                <w:rFonts w:hint="eastAsia" w:ascii="宋体" w:hAnsi="宋体" w:eastAsia="宋体" w:cs="宋体"/>
                <w:color w:val="000000"/>
                <w:position w:val="14"/>
                <w:sz w:val="24"/>
                <w:szCs w:val="24"/>
                <w:highlight w:val="none"/>
              </w:rPr>
              <w:t>人得</w:t>
            </w:r>
            <w:r>
              <w:rPr>
                <w:rFonts w:hint="eastAsia" w:ascii="宋体" w:hAnsi="宋体" w:eastAsia="宋体" w:cs="宋体"/>
                <w:color w:val="000000"/>
                <w:position w:val="14"/>
                <w:sz w:val="24"/>
                <w:szCs w:val="24"/>
                <w:highlight w:val="none"/>
                <w:lang w:val="en-US" w:eastAsia="zh-CN"/>
              </w:rPr>
              <w:t>5</w:t>
            </w:r>
            <w:r>
              <w:rPr>
                <w:rFonts w:hint="eastAsia" w:ascii="宋体" w:hAnsi="宋体" w:eastAsia="宋体" w:cs="宋体"/>
                <w:color w:val="000000"/>
                <w:position w:val="14"/>
                <w:sz w:val="24"/>
                <w:szCs w:val="24"/>
                <w:highlight w:val="none"/>
              </w:rPr>
              <w:t>分；</w:t>
            </w:r>
            <w:r>
              <w:rPr>
                <w:rFonts w:hint="eastAsia" w:ascii="宋体" w:hAnsi="宋体" w:eastAsia="宋体" w:cs="宋体"/>
                <w:color w:val="000000"/>
                <w:position w:val="14"/>
                <w:sz w:val="24"/>
                <w:szCs w:val="24"/>
                <w:highlight w:val="none"/>
                <w:lang w:val="en-US" w:eastAsia="zh-CN"/>
              </w:rPr>
              <w:t>不足7人不得分；</w:t>
            </w:r>
          </w:p>
          <w:p w14:paraId="2F424D4D">
            <w:pPr>
              <w:kinsoku w:val="0"/>
              <w:autoSpaceDE w:val="0"/>
              <w:autoSpaceDN w:val="0"/>
              <w:adjustRightInd w:val="0"/>
              <w:snapToGrid w:val="0"/>
              <w:textAlignment w:val="baseline"/>
              <w:rPr>
                <w:rFonts w:ascii="宋体" w:hAnsi="宋体" w:eastAsia="宋体" w:cs="宋体"/>
                <w:color w:val="000000"/>
                <w:position w:val="14"/>
                <w:sz w:val="24"/>
                <w:szCs w:val="24"/>
                <w:highlight w:val="none"/>
              </w:rPr>
            </w:pPr>
            <w:r>
              <w:rPr>
                <w:rFonts w:hint="eastAsia" w:ascii="宋体" w:hAnsi="宋体" w:eastAsia="宋体" w:cs="宋体"/>
                <w:color w:val="000000"/>
                <w:position w:val="14"/>
                <w:sz w:val="24"/>
                <w:szCs w:val="24"/>
                <w:highlight w:val="none"/>
              </w:rPr>
              <w:t>②东胜部≥</w:t>
            </w:r>
            <w:r>
              <w:rPr>
                <w:rFonts w:ascii="宋体" w:hAnsi="宋体" w:eastAsia="宋体" w:cs="宋体"/>
                <w:color w:val="000000"/>
                <w:position w:val="14"/>
                <w:sz w:val="24"/>
                <w:szCs w:val="24"/>
                <w:highlight w:val="none"/>
              </w:rPr>
              <w:t>5</w:t>
            </w:r>
            <w:r>
              <w:rPr>
                <w:rFonts w:hint="eastAsia" w:ascii="宋体" w:hAnsi="宋体" w:eastAsia="宋体" w:cs="宋体"/>
                <w:color w:val="000000"/>
                <w:position w:val="14"/>
                <w:sz w:val="24"/>
                <w:szCs w:val="24"/>
                <w:highlight w:val="none"/>
              </w:rPr>
              <w:t>人、康巴什部≥</w:t>
            </w:r>
            <w:r>
              <w:rPr>
                <w:rFonts w:ascii="宋体" w:hAnsi="宋体" w:eastAsia="宋体" w:cs="宋体"/>
                <w:color w:val="000000"/>
                <w:position w:val="14"/>
                <w:sz w:val="24"/>
                <w:szCs w:val="24"/>
                <w:highlight w:val="none"/>
              </w:rPr>
              <w:t>2</w:t>
            </w:r>
            <w:r>
              <w:rPr>
                <w:rFonts w:hint="eastAsia" w:ascii="宋体" w:hAnsi="宋体" w:eastAsia="宋体" w:cs="宋体"/>
                <w:color w:val="000000"/>
                <w:position w:val="14"/>
                <w:sz w:val="24"/>
                <w:szCs w:val="24"/>
                <w:highlight w:val="none"/>
              </w:rPr>
              <w:t>人得</w:t>
            </w:r>
            <w:r>
              <w:rPr>
                <w:rFonts w:hint="eastAsia" w:ascii="宋体" w:hAnsi="宋体" w:eastAsia="宋体" w:cs="宋体"/>
                <w:color w:val="000000"/>
                <w:position w:val="14"/>
                <w:sz w:val="24"/>
                <w:szCs w:val="24"/>
                <w:highlight w:val="none"/>
                <w:lang w:val="en-US" w:eastAsia="zh-CN"/>
              </w:rPr>
              <w:t>2</w:t>
            </w:r>
            <w:r>
              <w:rPr>
                <w:rFonts w:hint="eastAsia" w:ascii="宋体" w:hAnsi="宋体" w:eastAsia="宋体" w:cs="宋体"/>
                <w:color w:val="000000"/>
                <w:position w:val="14"/>
                <w:sz w:val="24"/>
                <w:szCs w:val="24"/>
                <w:highlight w:val="none"/>
              </w:rPr>
              <w:t>分，任一部人数不足不得分；</w:t>
            </w:r>
          </w:p>
          <w:p w14:paraId="74EA34F3">
            <w:pPr>
              <w:pStyle w:val="20"/>
              <w:numPr>
                <w:ilvl w:val="0"/>
                <w:numId w:val="0"/>
              </w:numPr>
              <w:kinsoku w:val="0"/>
              <w:autoSpaceDE w:val="0"/>
              <w:autoSpaceDN w:val="0"/>
              <w:adjustRightInd w:val="0"/>
              <w:snapToGrid w:val="0"/>
              <w:ind w:leftChars="0"/>
              <w:jc w:val="left"/>
              <w:textAlignment w:val="baseline"/>
              <w:rPr>
                <w:rFonts w:ascii="宋体" w:hAnsi="宋体" w:cs="宋体"/>
                <w:position w:val="14"/>
                <w:sz w:val="24"/>
                <w:szCs w:val="24"/>
                <w:highlight w:val="none"/>
              </w:rPr>
            </w:pPr>
            <w:r>
              <w:rPr>
                <w:rFonts w:hint="eastAsia" w:ascii="宋体" w:hAnsi="宋体" w:eastAsia="宋体" w:cs="宋体"/>
                <w:color w:val="000000"/>
                <w:position w:val="14"/>
                <w:sz w:val="24"/>
                <w:szCs w:val="24"/>
                <w:highlight w:val="none"/>
              </w:rPr>
              <w:t>③</w:t>
            </w:r>
            <w:r>
              <w:rPr>
                <w:rFonts w:hint="eastAsia" w:ascii="宋体" w:hAnsi="宋体" w:cs="宋体"/>
                <w:position w:val="14"/>
                <w:sz w:val="24"/>
                <w:szCs w:val="24"/>
                <w:highlight w:val="none"/>
              </w:rPr>
              <w:t>拟派人员学历不低于大专的，每人得</w:t>
            </w:r>
            <w:r>
              <w:rPr>
                <w:rFonts w:hint="eastAsia" w:ascii="宋体" w:hAnsi="宋体" w:cs="宋体"/>
                <w:position w:val="14"/>
                <w:sz w:val="24"/>
                <w:szCs w:val="24"/>
                <w:highlight w:val="none"/>
                <w:lang w:val="en-US" w:eastAsia="zh-CN"/>
              </w:rPr>
              <w:t>0.5</w:t>
            </w:r>
            <w:r>
              <w:rPr>
                <w:rFonts w:hint="eastAsia" w:ascii="宋体" w:hAnsi="宋体" w:cs="宋体"/>
                <w:position w:val="14"/>
                <w:sz w:val="24"/>
                <w:szCs w:val="24"/>
                <w:highlight w:val="none"/>
              </w:rPr>
              <w:t>分，最高</w:t>
            </w:r>
            <w:r>
              <w:rPr>
                <w:rFonts w:hint="eastAsia" w:ascii="宋体" w:hAnsi="宋体" w:cs="宋体"/>
                <w:position w:val="14"/>
                <w:sz w:val="24"/>
                <w:szCs w:val="24"/>
                <w:highlight w:val="none"/>
                <w:lang w:val="en-US" w:eastAsia="zh-CN"/>
              </w:rPr>
              <w:t>3</w:t>
            </w:r>
            <w:r>
              <w:rPr>
                <w:rFonts w:hint="eastAsia" w:ascii="宋体" w:hAnsi="宋体" w:cs="宋体"/>
                <w:position w:val="14"/>
                <w:sz w:val="24"/>
                <w:szCs w:val="24"/>
                <w:highlight w:val="none"/>
              </w:rPr>
              <w:t>分；</w:t>
            </w:r>
          </w:p>
          <w:p w14:paraId="4FC73184">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微软雅黑" w:hAnsi="微软雅黑" w:eastAsia="微软雅黑" w:cs="微软雅黑"/>
                <w:position w:val="14"/>
                <w:sz w:val="24"/>
                <w:szCs w:val="24"/>
                <w:highlight w:val="none"/>
              </w:rPr>
              <w:t>④</w:t>
            </w:r>
            <w:r>
              <w:rPr>
                <w:rFonts w:hint="eastAsia" w:ascii="宋体" w:hAnsi="宋体" w:eastAsia="宋体" w:cs="宋体"/>
                <w:position w:val="14"/>
                <w:sz w:val="24"/>
                <w:szCs w:val="24"/>
                <w:highlight w:val="none"/>
              </w:rPr>
              <w:t>拟派人员年龄均在</w:t>
            </w:r>
            <w:r>
              <w:rPr>
                <w:rFonts w:ascii="宋体" w:hAnsi="宋体" w:eastAsia="宋体" w:cs="宋体"/>
                <w:position w:val="14"/>
                <w:sz w:val="24"/>
                <w:szCs w:val="24"/>
                <w:highlight w:val="none"/>
              </w:rPr>
              <w:t>40</w:t>
            </w:r>
            <w:r>
              <w:rPr>
                <w:rFonts w:hint="eastAsia" w:ascii="宋体" w:hAnsi="宋体" w:eastAsia="宋体" w:cs="宋体"/>
                <w:position w:val="14"/>
                <w:sz w:val="24"/>
                <w:szCs w:val="24"/>
                <w:highlight w:val="none"/>
              </w:rPr>
              <w:t>周岁以下的得</w:t>
            </w:r>
            <w:r>
              <w:rPr>
                <w:rFonts w:hint="eastAsia" w:ascii="宋体" w:hAnsi="宋体" w:eastAsia="宋体" w:cs="宋体"/>
                <w:position w:val="14"/>
                <w:sz w:val="24"/>
                <w:szCs w:val="24"/>
                <w:highlight w:val="none"/>
                <w:lang w:val="en-US" w:eastAsia="zh-CN"/>
              </w:rPr>
              <w:t>2</w:t>
            </w:r>
            <w:r>
              <w:rPr>
                <w:rFonts w:hint="eastAsia" w:ascii="宋体" w:hAnsi="宋体" w:eastAsia="宋体" w:cs="宋体"/>
                <w:position w:val="14"/>
                <w:sz w:val="24"/>
                <w:szCs w:val="24"/>
                <w:highlight w:val="none"/>
              </w:rPr>
              <w:t>分，存在超龄人员的不得分；</w:t>
            </w:r>
          </w:p>
          <w:p w14:paraId="0BB15C92">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color w:val="000000"/>
                <w:position w:val="14"/>
                <w:sz w:val="24"/>
                <w:szCs w:val="24"/>
                <w:highlight w:val="none"/>
              </w:rPr>
              <w:t>（须提供人员名单</w:t>
            </w:r>
            <w:r>
              <w:rPr>
                <w:rFonts w:hint="eastAsia" w:ascii="宋体" w:hAnsi="宋体" w:eastAsia="宋体" w:cs="宋体"/>
                <w:color w:val="000000"/>
                <w:position w:val="14"/>
                <w:sz w:val="24"/>
                <w:szCs w:val="24"/>
                <w:highlight w:val="none"/>
                <w:lang w:eastAsia="zh-CN"/>
              </w:rPr>
              <w:t>及身份证号码</w:t>
            </w:r>
            <w:r>
              <w:rPr>
                <w:rFonts w:hint="eastAsia" w:ascii="宋体" w:hAnsi="宋体" w:eastAsia="宋体" w:cs="宋体"/>
                <w:color w:val="000000"/>
                <w:position w:val="14"/>
                <w:sz w:val="24"/>
                <w:szCs w:val="24"/>
                <w:highlight w:val="none"/>
              </w:rPr>
              <w:t>、</w:t>
            </w:r>
            <w:r>
              <w:rPr>
                <w:rFonts w:hint="eastAsia" w:ascii="宋体" w:hAnsi="宋体" w:eastAsia="宋体" w:cs="宋体"/>
                <w:color w:val="000000"/>
                <w:position w:val="14"/>
                <w:sz w:val="24"/>
                <w:szCs w:val="24"/>
                <w:highlight w:val="none"/>
                <w:lang w:eastAsia="zh-CN"/>
              </w:rPr>
              <w:t>毕业证复印件</w:t>
            </w:r>
            <w:r>
              <w:rPr>
                <w:rFonts w:hint="eastAsia" w:ascii="宋体" w:hAnsi="宋体" w:eastAsia="宋体" w:cs="宋体"/>
                <w:color w:val="000000"/>
                <w:position w:val="14"/>
                <w:sz w:val="24"/>
                <w:szCs w:val="24"/>
                <w:highlight w:val="none"/>
              </w:rPr>
              <w:t>）</w:t>
            </w:r>
          </w:p>
        </w:tc>
      </w:tr>
      <w:tr w14:paraId="6BED3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3" w:hRule="atLeast"/>
          <w:jc w:val="center"/>
        </w:trPr>
        <w:tc>
          <w:tcPr>
            <w:tcW w:w="959" w:type="dxa"/>
            <w:vMerge w:val="continue"/>
            <w:tcBorders>
              <w:top w:val="nil"/>
              <w:left w:val="single" w:color="000000" w:sz="4" w:space="0"/>
              <w:bottom w:val="nil"/>
              <w:right w:val="single" w:color="000000" w:sz="4" w:space="0"/>
            </w:tcBorders>
          </w:tcPr>
          <w:p w14:paraId="20D8A516">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2720385A">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ascii="宋体" w:hAnsi="宋体" w:eastAsia="宋体" w:cs="宋体"/>
                <w:color w:val="000000"/>
                <w:position w:val="14"/>
                <w:sz w:val="24"/>
                <w:szCs w:val="24"/>
              </w:rPr>
              <w:t>人员资质与稳定性</w:t>
            </w:r>
            <w:r>
              <w:rPr>
                <w:rFonts w:hint="eastAsia" w:ascii="宋体" w:hAnsi="宋体" w:eastAsia="宋体" w:cs="宋体"/>
                <w:color w:val="000000"/>
                <w:position w:val="14"/>
                <w:sz w:val="24"/>
                <w:szCs w:val="24"/>
              </w:rPr>
              <w:t>（</w:t>
            </w:r>
            <w:r>
              <w:rPr>
                <w:rFonts w:hint="eastAsia" w:ascii="宋体" w:hAnsi="宋体" w:eastAsia="宋体" w:cs="宋体"/>
                <w:color w:val="000000"/>
                <w:position w:val="14"/>
                <w:sz w:val="24"/>
                <w:szCs w:val="24"/>
                <w:lang w:val="en-US" w:eastAsia="zh-CN"/>
              </w:rPr>
              <w:t>8</w:t>
            </w:r>
            <w:r>
              <w:rPr>
                <w:rFonts w:hint="eastAsia" w:ascii="宋体" w:hAnsi="宋体" w:eastAsia="宋体" w:cs="宋体"/>
                <w:color w:val="000000"/>
                <w:position w:val="14"/>
                <w:sz w:val="24"/>
                <w:szCs w:val="24"/>
              </w:rPr>
              <w:t>分）</w:t>
            </w:r>
          </w:p>
        </w:tc>
        <w:tc>
          <w:tcPr>
            <w:tcW w:w="7575" w:type="dxa"/>
            <w:tcBorders>
              <w:top w:val="single" w:color="000000" w:sz="2" w:space="0"/>
              <w:left w:val="single" w:color="000000" w:sz="4" w:space="0"/>
              <w:bottom w:val="single" w:color="000000" w:sz="2" w:space="0"/>
              <w:right w:val="single" w:color="000000" w:sz="4" w:space="0"/>
            </w:tcBorders>
            <w:vAlign w:val="center"/>
          </w:tcPr>
          <w:p w14:paraId="55BF0EC4">
            <w:pPr>
              <w:kinsoku w:val="0"/>
              <w:autoSpaceDE w:val="0"/>
              <w:autoSpaceDN w:val="0"/>
              <w:adjustRightInd w:val="0"/>
              <w:snapToGrid w:val="0"/>
              <w:textAlignment w:val="baseline"/>
              <w:rPr>
                <w:rFonts w:hint="eastAsia" w:ascii="宋体" w:hAnsi="宋体" w:eastAsia="宋体" w:cs="宋体"/>
                <w:color w:val="000000"/>
                <w:position w:val="14"/>
                <w:sz w:val="24"/>
                <w:szCs w:val="24"/>
                <w:highlight w:val="none"/>
              </w:rPr>
            </w:pPr>
            <w:r>
              <w:rPr>
                <w:rFonts w:hint="eastAsia" w:ascii="宋体" w:hAnsi="宋体" w:eastAsia="宋体" w:cs="宋体"/>
                <w:color w:val="000000"/>
                <w:position w:val="14"/>
                <w:sz w:val="24"/>
                <w:szCs w:val="24"/>
                <w:highlight w:val="none"/>
              </w:rPr>
              <w:t>①</w:t>
            </w:r>
            <w:r>
              <w:rPr>
                <w:rFonts w:hint="eastAsia" w:ascii="宋体" w:hAnsi="宋体" w:cs="宋体"/>
                <w:position w:val="14"/>
                <w:sz w:val="24"/>
                <w:szCs w:val="24"/>
                <w:highlight w:val="none"/>
              </w:rPr>
              <w:t>拟派人员</w:t>
            </w:r>
            <w:r>
              <w:rPr>
                <w:rFonts w:hint="eastAsia" w:ascii="宋体" w:hAnsi="宋体" w:eastAsia="宋体" w:cs="宋体"/>
                <w:color w:val="000000"/>
                <w:position w:val="14"/>
                <w:sz w:val="24"/>
                <w:szCs w:val="24"/>
                <w:highlight w:val="none"/>
              </w:rPr>
              <w:t>具有人事档案工作经历</w:t>
            </w:r>
            <w:r>
              <w:rPr>
                <w:rFonts w:hint="eastAsia" w:ascii="宋体" w:hAnsi="宋体" w:eastAsia="宋体" w:cs="宋体"/>
                <w:color w:val="000000"/>
                <w:position w:val="14"/>
                <w:sz w:val="24"/>
                <w:szCs w:val="24"/>
                <w:highlight w:val="none"/>
                <w:lang w:eastAsia="zh-CN"/>
              </w:rPr>
              <w:t>的每人得</w:t>
            </w:r>
            <w:r>
              <w:rPr>
                <w:rFonts w:hint="eastAsia" w:ascii="宋体" w:hAnsi="宋体" w:eastAsia="宋体" w:cs="宋体"/>
                <w:color w:val="000000"/>
                <w:position w:val="14"/>
                <w:sz w:val="24"/>
                <w:szCs w:val="24"/>
                <w:highlight w:val="none"/>
                <w:lang w:val="en-US" w:eastAsia="zh-CN"/>
              </w:rPr>
              <w:t>1分，最高5分。</w:t>
            </w:r>
          </w:p>
          <w:p w14:paraId="6AE19A66">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color w:val="000000"/>
                <w:position w:val="14"/>
                <w:sz w:val="24"/>
                <w:szCs w:val="24"/>
                <w:highlight w:val="none"/>
              </w:rPr>
              <w:t>②</w:t>
            </w:r>
            <w:r>
              <w:rPr>
                <w:rFonts w:hint="eastAsia" w:ascii="宋体" w:hAnsi="宋体" w:eastAsia="宋体" w:cs="宋体"/>
                <w:position w:val="14"/>
                <w:sz w:val="24"/>
                <w:szCs w:val="24"/>
                <w:highlight w:val="none"/>
              </w:rPr>
              <w:t>提交加盖公章的《人员稳定性承诺书》，明确不擅自更换人员、请假提前</w:t>
            </w:r>
            <w:r>
              <w:rPr>
                <w:rFonts w:ascii="宋体" w:hAnsi="宋体" w:eastAsia="宋体" w:cs="宋体"/>
                <w:position w:val="14"/>
                <w:sz w:val="24"/>
                <w:szCs w:val="24"/>
                <w:highlight w:val="none"/>
              </w:rPr>
              <w:t>3</w:t>
            </w:r>
            <w:r>
              <w:rPr>
                <w:rFonts w:hint="eastAsia" w:ascii="宋体" w:hAnsi="宋体" w:eastAsia="宋体" w:cs="宋体"/>
                <w:position w:val="14"/>
                <w:sz w:val="24"/>
                <w:szCs w:val="24"/>
                <w:highlight w:val="none"/>
              </w:rPr>
              <w:t>天报备并落实替补方案的，得</w:t>
            </w:r>
            <w:r>
              <w:rPr>
                <w:rFonts w:hint="eastAsia" w:ascii="宋体" w:hAnsi="宋体" w:eastAsia="宋体" w:cs="宋体"/>
                <w:position w:val="14"/>
                <w:sz w:val="24"/>
                <w:szCs w:val="24"/>
                <w:highlight w:val="none"/>
                <w:lang w:val="en-US" w:eastAsia="zh-CN"/>
              </w:rPr>
              <w:t>3</w:t>
            </w:r>
            <w:r>
              <w:rPr>
                <w:rFonts w:hint="eastAsia" w:ascii="宋体" w:hAnsi="宋体" w:eastAsia="宋体" w:cs="宋体"/>
                <w:position w:val="14"/>
                <w:sz w:val="24"/>
                <w:szCs w:val="24"/>
                <w:highlight w:val="none"/>
              </w:rPr>
              <w:t>分；未提交或承诺内容不完整的，</w:t>
            </w:r>
            <w:r>
              <w:rPr>
                <w:rFonts w:hint="eastAsia" w:ascii="宋体" w:hAnsi="宋体" w:eastAsia="宋体" w:cs="宋体"/>
                <w:position w:val="14"/>
                <w:sz w:val="24"/>
                <w:szCs w:val="24"/>
                <w:highlight w:val="none"/>
                <w:lang w:eastAsia="zh-CN"/>
              </w:rPr>
              <w:t>不得分</w:t>
            </w:r>
            <w:r>
              <w:rPr>
                <w:rFonts w:hint="eastAsia" w:ascii="宋体" w:hAnsi="宋体" w:eastAsia="宋体" w:cs="宋体"/>
                <w:position w:val="14"/>
                <w:sz w:val="24"/>
                <w:szCs w:val="24"/>
                <w:highlight w:val="none"/>
              </w:rPr>
              <w:t>。</w:t>
            </w:r>
          </w:p>
          <w:p w14:paraId="3028A69B">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color w:val="000000"/>
                <w:position w:val="14"/>
                <w:sz w:val="24"/>
                <w:szCs w:val="24"/>
                <w:highlight w:val="none"/>
              </w:rPr>
              <w:t>（须提供</w:t>
            </w:r>
            <w:r>
              <w:rPr>
                <w:rFonts w:hint="eastAsia" w:ascii="宋体" w:hAnsi="宋体" w:eastAsia="宋体" w:cs="宋体"/>
                <w:color w:val="000000"/>
                <w:position w:val="14"/>
                <w:sz w:val="24"/>
                <w:szCs w:val="24"/>
                <w:highlight w:val="none"/>
                <w:lang w:eastAsia="zh-CN"/>
              </w:rPr>
              <w:t>加盖公章的人事档案工作经历证明及相关佐证材料</w:t>
            </w:r>
            <w:r>
              <w:rPr>
                <w:rFonts w:hint="eastAsia" w:ascii="宋体" w:hAnsi="宋体" w:eastAsia="宋体" w:cs="宋体"/>
                <w:color w:val="000000"/>
                <w:position w:val="14"/>
                <w:sz w:val="24"/>
                <w:szCs w:val="24"/>
                <w:highlight w:val="none"/>
              </w:rPr>
              <w:t>）</w:t>
            </w:r>
          </w:p>
        </w:tc>
      </w:tr>
      <w:tr w14:paraId="3193D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59" w:type="dxa"/>
            <w:vMerge w:val="continue"/>
            <w:tcBorders>
              <w:top w:val="nil"/>
              <w:left w:val="single" w:color="000000" w:sz="4" w:space="0"/>
              <w:bottom w:val="nil"/>
              <w:right w:val="single" w:color="000000" w:sz="4" w:space="0"/>
            </w:tcBorders>
          </w:tcPr>
          <w:p w14:paraId="0729A32D">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6365A453">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ascii="宋体" w:hAnsi="宋体" w:eastAsia="宋体" w:cs="宋体"/>
                <w:color w:val="000000"/>
                <w:position w:val="14"/>
                <w:sz w:val="24"/>
                <w:szCs w:val="24"/>
              </w:rPr>
              <w:t>质量保证措施</w:t>
            </w:r>
            <w:r>
              <w:rPr>
                <w:rFonts w:hint="eastAsia" w:ascii="宋体" w:hAnsi="宋体" w:eastAsia="宋体" w:cs="宋体"/>
                <w:color w:val="000000"/>
                <w:position w:val="14"/>
                <w:sz w:val="24"/>
                <w:szCs w:val="24"/>
              </w:rPr>
              <w:t>（10分）</w:t>
            </w:r>
          </w:p>
          <w:p w14:paraId="4D5E0015">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lang w:val="en-US" w:eastAsia="zh-CN"/>
              </w:rPr>
            </w:pPr>
          </w:p>
        </w:tc>
        <w:tc>
          <w:tcPr>
            <w:tcW w:w="7575" w:type="dxa"/>
            <w:tcBorders>
              <w:top w:val="single" w:color="000000" w:sz="2" w:space="0"/>
              <w:left w:val="single" w:color="000000" w:sz="4" w:space="0"/>
              <w:bottom w:val="single" w:color="000000" w:sz="2" w:space="0"/>
              <w:right w:val="single" w:color="000000" w:sz="4" w:space="0"/>
            </w:tcBorders>
            <w:vAlign w:val="center"/>
          </w:tcPr>
          <w:p w14:paraId="52B97C6D">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position w:val="14"/>
                <w:sz w:val="24"/>
                <w:szCs w:val="24"/>
                <w:highlight w:val="none"/>
              </w:rPr>
              <w:t>1.月度进度汇报与常规台账管理（</w:t>
            </w:r>
            <w:r>
              <w:rPr>
                <w:rFonts w:hint="eastAsia" w:ascii="宋体" w:hAnsi="宋体" w:eastAsia="宋体" w:cs="宋体"/>
                <w:position w:val="14"/>
                <w:sz w:val="24"/>
                <w:szCs w:val="24"/>
                <w:highlight w:val="none"/>
                <w:lang w:val="en-US" w:eastAsia="zh-CN"/>
              </w:rPr>
              <w:t>4</w:t>
            </w:r>
            <w:r>
              <w:rPr>
                <w:rFonts w:hint="eastAsia" w:ascii="宋体" w:hAnsi="宋体" w:eastAsia="宋体" w:cs="宋体"/>
                <w:position w:val="14"/>
                <w:sz w:val="24"/>
                <w:szCs w:val="24"/>
                <w:highlight w:val="none"/>
              </w:rPr>
              <w:t>分）</w:t>
            </w:r>
          </w:p>
          <w:p w14:paraId="6CDA7D4E">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position w:val="14"/>
                <w:sz w:val="24"/>
                <w:szCs w:val="24"/>
                <w:highlight w:val="none"/>
              </w:rPr>
              <w:t>① 汇报承诺与机制：承诺服务期内每月5日前（遇节假日顺延）向采购人提交上月《</w:t>
            </w:r>
            <w:r>
              <w:rPr>
                <w:rFonts w:hint="eastAsia" w:ascii="宋体" w:hAnsi="宋体" w:eastAsia="宋体" w:cs="宋体"/>
                <w:position w:val="14"/>
                <w:sz w:val="24"/>
                <w:szCs w:val="24"/>
                <w:highlight w:val="none"/>
                <w:lang w:eastAsia="zh-CN"/>
              </w:rPr>
              <w:t>职工从业年限认定</w:t>
            </w:r>
            <w:r>
              <w:rPr>
                <w:rFonts w:hint="eastAsia" w:ascii="宋体" w:hAnsi="宋体" w:eastAsia="宋体" w:cs="宋体"/>
                <w:position w:val="14"/>
                <w:sz w:val="24"/>
                <w:szCs w:val="24"/>
                <w:highlight w:val="none"/>
              </w:rPr>
              <w:t>办理进度月报》，明确月报内容包括：当期受理数、办结数、审批中数量、退回整改数量及原因分析、下月计划等，得2分。未承诺或内容不全不得分。</w:t>
            </w:r>
          </w:p>
          <w:p w14:paraId="4FC89C71">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position w:val="14"/>
                <w:sz w:val="24"/>
                <w:szCs w:val="24"/>
                <w:highlight w:val="none"/>
              </w:rPr>
              <w:t>② 常规台账模板：提供《</w:t>
            </w:r>
            <w:r>
              <w:rPr>
                <w:rFonts w:hint="eastAsia" w:ascii="宋体" w:hAnsi="宋体" w:eastAsia="宋体" w:cs="宋体"/>
                <w:position w:val="14"/>
                <w:sz w:val="24"/>
                <w:szCs w:val="24"/>
                <w:highlight w:val="none"/>
                <w:lang w:eastAsia="zh-CN"/>
              </w:rPr>
              <w:t>职工从业年限认定</w:t>
            </w:r>
            <w:r>
              <w:rPr>
                <w:rFonts w:hint="eastAsia" w:ascii="宋体" w:hAnsi="宋体" w:eastAsia="宋体" w:cs="宋体"/>
                <w:position w:val="14"/>
                <w:sz w:val="24"/>
                <w:szCs w:val="24"/>
                <w:highlight w:val="none"/>
              </w:rPr>
              <w:t>人员全量进度跟踪台账》模板，台账字段必须包含：职工姓名、部门、提交材料时间、当前所处环节（如：收集/初审/上报/审批中/已办结）、退回原因及处理进度等，得</w:t>
            </w:r>
            <w:r>
              <w:rPr>
                <w:rFonts w:hint="eastAsia" w:ascii="宋体" w:hAnsi="宋体" w:eastAsia="宋体" w:cs="宋体"/>
                <w:position w:val="14"/>
                <w:sz w:val="24"/>
                <w:szCs w:val="24"/>
                <w:highlight w:val="none"/>
                <w:lang w:val="en-US" w:eastAsia="zh-CN"/>
              </w:rPr>
              <w:t>2</w:t>
            </w:r>
            <w:r>
              <w:rPr>
                <w:rFonts w:hint="eastAsia" w:ascii="宋体" w:hAnsi="宋体" w:eastAsia="宋体" w:cs="宋体"/>
                <w:position w:val="14"/>
                <w:sz w:val="24"/>
                <w:szCs w:val="24"/>
                <w:highlight w:val="none"/>
              </w:rPr>
              <w:t>分。未提供或字段缺失严重的酌情扣分。</w:t>
            </w:r>
          </w:p>
          <w:p w14:paraId="4A8B6F69">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lang w:eastAsia="zh-CN"/>
              </w:rPr>
            </w:pPr>
            <w:r>
              <w:rPr>
                <w:rFonts w:hint="eastAsia" w:ascii="宋体" w:hAnsi="宋体" w:eastAsia="宋体" w:cs="宋体"/>
                <w:position w:val="14"/>
                <w:sz w:val="24"/>
                <w:szCs w:val="24"/>
                <w:highlight w:val="none"/>
              </w:rPr>
              <w:t>(注：此项重点考察投标人是否具备“清单化、透明化”的过程管理能力。)</w:t>
            </w:r>
          </w:p>
          <w:p w14:paraId="550DC781">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position w:val="14"/>
                <w:sz w:val="24"/>
                <w:szCs w:val="24"/>
                <w:highlight w:val="none"/>
              </w:rPr>
              <w:t>2. 重点人员专项台账与管控措施（</w:t>
            </w:r>
            <w:r>
              <w:rPr>
                <w:rFonts w:hint="eastAsia" w:ascii="宋体" w:hAnsi="宋体" w:eastAsia="宋体" w:cs="宋体"/>
                <w:position w:val="14"/>
                <w:sz w:val="24"/>
                <w:szCs w:val="24"/>
                <w:highlight w:val="none"/>
                <w:lang w:val="en-US" w:eastAsia="zh-CN"/>
              </w:rPr>
              <w:t>4</w:t>
            </w:r>
            <w:r>
              <w:rPr>
                <w:rFonts w:hint="eastAsia" w:ascii="宋体" w:hAnsi="宋体" w:eastAsia="宋体" w:cs="宋体"/>
                <w:position w:val="14"/>
                <w:sz w:val="24"/>
                <w:szCs w:val="24"/>
                <w:highlight w:val="none"/>
              </w:rPr>
              <w:t>分）</w:t>
            </w:r>
          </w:p>
          <w:p w14:paraId="3103D9C0">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position w:val="14"/>
                <w:sz w:val="24"/>
                <w:szCs w:val="24"/>
                <w:highlight w:val="none"/>
              </w:rPr>
              <w:t>针对历史档案缺失、临近退休等易引发纠纷的“重点人员”，考察专项管控能力：</w:t>
            </w:r>
          </w:p>
          <w:p w14:paraId="4A7AE0DB">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position w:val="14"/>
                <w:sz w:val="24"/>
                <w:szCs w:val="24"/>
                <w:highlight w:val="none"/>
              </w:rPr>
              <w:t>① 提供《重点人员专项跟进台账》模板，除常规字段外，需包含“特殊情形描述（如：缺少某年工资单）”、“替代证明材料方案”、“专人跟进记录”、“风险预警级别”等专属字段，得</w:t>
            </w:r>
            <w:r>
              <w:rPr>
                <w:rFonts w:hint="eastAsia" w:ascii="宋体" w:hAnsi="宋体" w:eastAsia="宋体" w:cs="宋体"/>
                <w:position w:val="14"/>
                <w:sz w:val="24"/>
                <w:szCs w:val="24"/>
                <w:highlight w:val="none"/>
                <w:lang w:val="en-US" w:eastAsia="zh-CN"/>
              </w:rPr>
              <w:t>3</w:t>
            </w:r>
            <w:r>
              <w:rPr>
                <w:rFonts w:hint="eastAsia" w:ascii="宋体" w:hAnsi="宋体" w:eastAsia="宋体" w:cs="宋体"/>
                <w:position w:val="14"/>
                <w:sz w:val="24"/>
                <w:szCs w:val="24"/>
                <w:highlight w:val="none"/>
              </w:rPr>
              <w:t>分。</w:t>
            </w:r>
          </w:p>
          <w:p w14:paraId="483CB82C">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position w:val="14"/>
                <w:sz w:val="24"/>
                <w:szCs w:val="24"/>
                <w:highlight w:val="none"/>
              </w:rPr>
              <w:t>② 制定疑难问题协调机制，得</w:t>
            </w:r>
            <w:r>
              <w:rPr>
                <w:rFonts w:hint="eastAsia" w:ascii="宋体" w:hAnsi="宋体" w:eastAsia="宋体" w:cs="宋体"/>
                <w:position w:val="14"/>
                <w:sz w:val="24"/>
                <w:szCs w:val="24"/>
                <w:highlight w:val="none"/>
                <w:lang w:val="en-US" w:eastAsia="zh-CN"/>
              </w:rPr>
              <w:t>1</w:t>
            </w:r>
            <w:r>
              <w:rPr>
                <w:rFonts w:hint="eastAsia" w:ascii="宋体" w:hAnsi="宋体" w:eastAsia="宋体" w:cs="宋体"/>
                <w:position w:val="14"/>
                <w:sz w:val="24"/>
                <w:szCs w:val="24"/>
                <w:highlight w:val="none"/>
              </w:rPr>
              <w:t>分。</w:t>
            </w:r>
          </w:p>
          <w:p w14:paraId="623DE5E9">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lang w:eastAsia="zh-CN"/>
              </w:rPr>
            </w:pPr>
            <w:r>
              <w:rPr>
                <w:rFonts w:hint="eastAsia" w:ascii="宋体" w:hAnsi="宋体" w:eastAsia="宋体" w:cs="宋体"/>
                <w:position w:val="14"/>
                <w:sz w:val="24"/>
                <w:szCs w:val="24"/>
                <w:highlight w:val="none"/>
              </w:rPr>
              <w:t>未提供专项台账模板或未明确管控机制的，对应项不得分。</w:t>
            </w:r>
          </w:p>
          <w:p w14:paraId="6B7CE616">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position w:val="14"/>
                <w:sz w:val="24"/>
                <w:szCs w:val="24"/>
                <w:highlight w:val="none"/>
                <w:lang w:val="en-US" w:eastAsia="zh-CN"/>
              </w:rPr>
              <w:t>3.</w:t>
            </w:r>
            <w:r>
              <w:rPr>
                <w:rFonts w:hint="eastAsia" w:ascii="宋体" w:hAnsi="宋体" w:eastAsia="宋体" w:cs="宋体"/>
                <w:position w:val="14"/>
                <w:sz w:val="24"/>
                <w:szCs w:val="24"/>
                <w:highlight w:val="none"/>
              </w:rPr>
              <w:t>承诺验收不合格或审批退回的，在</w:t>
            </w:r>
            <w:r>
              <w:rPr>
                <w:rFonts w:ascii="宋体" w:hAnsi="宋体" w:eastAsia="宋体" w:cs="宋体"/>
                <w:position w:val="14"/>
                <w:sz w:val="24"/>
                <w:szCs w:val="24"/>
                <w:highlight w:val="none"/>
              </w:rPr>
              <w:t>5</w:t>
            </w:r>
            <w:r>
              <w:rPr>
                <w:rFonts w:hint="eastAsia" w:ascii="宋体" w:hAnsi="宋体" w:eastAsia="宋体" w:cs="宋体"/>
                <w:position w:val="14"/>
                <w:sz w:val="24"/>
                <w:szCs w:val="24"/>
                <w:highlight w:val="none"/>
              </w:rPr>
              <w:t>个工作日内无偿返工并承担相应责任的，得</w:t>
            </w:r>
            <w:r>
              <w:rPr>
                <w:rFonts w:hint="eastAsia" w:ascii="宋体" w:hAnsi="宋体" w:eastAsia="宋体" w:cs="宋体"/>
                <w:position w:val="14"/>
                <w:sz w:val="24"/>
                <w:szCs w:val="24"/>
                <w:highlight w:val="none"/>
                <w:lang w:val="en-US" w:eastAsia="zh-CN"/>
              </w:rPr>
              <w:t>2</w:t>
            </w:r>
            <w:r>
              <w:rPr>
                <w:rFonts w:hint="eastAsia" w:ascii="宋体" w:hAnsi="宋体" w:eastAsia="宋体" w:cs="宋体"/>
                <w:position w:val="14"/>
                <w:sz w:val="24"/>
                <w:szCs w:val="24"/>
                <w:highlight w:val="none"/>
              </w:rPr>
              <w:t>分。</w:t>
            </w:r>
          </w:p>
        </w:tc>
      </w:tr>
      <w:tr w14:paraId="76B88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9" w:hRule="atLeast"/>
          <w:jc w:val="center"/>
        </w:trPr>
        <w:tc>
          <w:tcPr>
            <w:tcW w:w="959" w:type="dxa"/>
            <w:vMerge w:val="continue"/>
            <w:tcBorders>
              <w:top w:val="nil"/>
              <w:left w:val="single" w:color="000000" w:sz="4" w:space="0"/>
              <w:bottom w:val="nil"/>
              <w:right w:val="single" w:color="000000" w:sz="4" w:space="0"/>
            </w:tcBorders>
          </w:tcPr>
          <w:p w14:paraId="0FBF0692">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795B3ACF">
            <w:pPr>
              <w:kinsoku w:val="0"/>
              <w:autoSpaceDE w:val="0"/>
              <w:autoSpaceDN w:val="0"/>
              <w:adjustRightInd w:val="0"/>
              <w:snapToGrid w:val="0"/>
              <w:textAlignment w:val="baseline"/>
              <w:rPr>
                <w:rFonts w:hint="eastAsia" w:ascii="宋体" w:hAnsi="宋体" w:eastAsia="宋体" w:cs="宋体"/>
                <w:position w:val="14"/>
                <w:sz w:val="24"/>
                <w:szCs w:val="24"/>
              </w:rPr>
            </w:pPr>
            <w:r>
              <w:rPr>
                <w:rFonts w:ascii="宋体" w:hAnsi="宋体" w:eastAsia="宋体" w:cs="宋体"/>
                <w:position w:val="14"/>
                <w:sz w:val="24"/>
                <w:szCs w:val="24"/>
              </w:rPr>
              <w:t>进度计划与工期承诺</w:t>
            </w:r>
            <w:r>
              <w:rPr>
                <w:rFonts w:hint="eastAsia" w:ascii="宋体" w:hAnsi="宋体" w:eastAsia="宋体" w:cs="宋体"/>
                <w:position w:val="14"/>
                <w:sz w:val="24"/>
                <w:szCs w:val="24"/>
              </w:rPr>
              <w:t>（8分）</w:t>
            </w:r>
          </w:p>
          <w:p w14:paraId="7748B12A">
            <w:pPr>
              <w:kinsoku w:val="0"/>
              <w:autoSpaceDE w:val="0"/>
              <w:autoSpaceDN w:val="0"/>
              <w:adjustRightInd w:val="0"/>
              <w:snapToGrid w:val="0"/>
              <w:textAlignment w:val="baseline"/>
              <w:rPr>
                <w:rFonts w:hint="eastAsia" w:ascii="宋体" w:hAnsi="宋体" w:eastAsia="宋体" w:cs="宋体"/>
                <w:position w:val="14"/>
                <w:sz w:val="24"/>
                <w:szCs w:val="24"/>
              </w:rPr>
            </w:pPr>
          </w:p>
        </w:tc>
        <w:tc>
          <w:tcPr>
            <w:tcW w:w="7575" w:type="dxa"/>
            <w:tcBorders>
              <w:top w:val="single" w:color="000000" w:sz="2" w:space="0"/>
              <w:left w:val="single" w:color="000000" w:sz="4" w:space="0"/>
              <w:bottom w:val="single" w:color="000000" w:sz="2" w:space="0"/>
              <w:right w:val="single" w:color="000000" w:sz="4" w:space="0"/>
            </w:tcBorders>
            <w:vAlign w:val="center"/>
          </w:tcPr>
          <w:p w14:paraId="5546321F">
            <w:pPr>
              <w:pStyle w:val="20"/>
              <w:numPr>
                <w:ilvl w:val="0"/>
                <w:numId w:val="4"/>
              </w:numPr>
              <w:kinsoku w:val="0"/>
              <w:autoSpaceDE w:val="0"/>
              <w:autoSpaceDN w:val="0"/>
              <w:adjustRightInd w:val="0"/>
              <w:snapToGrid w:val="0"/>
              <w:jc w:val="left"/>
              <w:textAlignment w:val="baseline"/>
              <w:rPr>
                <w:rFonts w:ascii="宋体" w:hAnsi="宋体" w:cs="宋体"/>
                <w:position w:val="14"/>
                <w:sz w:val="24"/>
                <w:szCs w:val="24"/>
                <w:highlight w:val="none"/>
              </w:rPr>
            </w:pPr>
            <w:r>
              <w:rPr>
                <w:rFonts w:hint="eastAsia" w:ascii="宋体" w:hAnsi="宋体" w:cs="宋体"/>
                <w:position w:val="14"/>
                <w:sz w:val="24"/>
                <w:szCs w:val="24"/>
                <w:highlight w:val="none"/>
              </w:rPr>
              <w:t>按“接续工龄工资变动审批通过且</w:t>
            </w:r>
            <w:r>
              <w:rPr>
                <w:rFonts w:hint="eastAsia" w:ascii="宋体" w:hAnsi="宋体" w:cs="宋体"/>
                <w:position w:val="14"/>
                <w:sz w:val="24"/>
                <w:szCs w:val="24"/>
                <w:highlight w:val="none"/>
                <w:lang w:val="en-US" w:eastAsia="zh-CN"/>
              </w:rPr>
              <w:t>所有</w:t>
            </w:r>
            <w:r>
              <w:rPr>
                <w:rFonts w:hint="eastAsia" w:ascii="宋体" w:hAnsi="宋体" w:cs="宋体"/>
                <w:position w:val="14"/>
                <w:sz w:val="24"/>
                <w:szCs w:val="24"/>
                <w:highlight w:val="none"/>
              </w:rPr>
              <w:t>材料归档”办结标准，提出分阶段进度计划及关键节点时限的，得4分；</w:t>
            </w:r>
          </w:p>
          <w:p w14:paraId="61F7B3C5">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position w:val="14"/>
                <w:sz w:val="24"/>
                <w:szCs w:val="24"/>
                <w:highlight w:val="none"/>
              </w:rPr>
              <w:t>②承诺在采购人规定期限内完成全部人员业务办理的，得</w:t>
            </w:r>
            <w:r>
              <w:rPr>
                <w:rFonts w:hint="eastAsia" w:ascii="宋体" w:hAnsi="宋体" w:eastAsia="宋体" w:cs="宋体"/>
                <w:position w:val="14"/>
                <w:sz w:val="24"/>
                <w:szCs w:val="24"/>
                <w:highlight w:val="none"/>
                <w:lang w:val="en-US" w:eastAsia="zh-CN"/>
              </w:rPr>
              <w:t>2</w:t>
            </w:r>
            <w:r>
              <w:rPr>
                <w:rFonts w:hint="eastAsia" w:ascii="宋体" w:hAnsi="宋体" w:eastAsia="宋体" w:cs="宋体"/>
                <w:position w:val="14"/>
                <w:sz w:val="24"/>
                <w:szCs w:val="24"/>
                <w:highlight w:val="none"/>
              </w:rPr>
              <w:t>分</w:t>
            </w:r>
            <w:r>
              <w:rPr>
                <w:rFonts w:hint="eastAsia" w:ascii="宋体" w:hAnsi="宋体" w:eastAsia="宋体" w:cs="宋体"/>
                <w:position w:val="14"/>
                <w:sz w:val="24"/>
                <w:szCs w:val="24"/>
                <w:highlight w:val="none"/>
                <w:lang w:eastAsia="zh-CN"/>
              </w:rPr>
              <w:t>；</w:t>
            </w:r>
            <w:r>
              <w:rPr>
                <w:rFonts w:hint="eastAsia" w:ascii="宋体" w:hAnsi="宋体" w:eastAsia="宋体" w:cs="宋体"/>
                <w:position w:val="14"/>
                <w:sz w:val="24"/>
                <w:szCs w:val="24"/>
                <w:highlight w:val="none"/>
              </w:rPr>
              <w:t>未提供计划或明显不可行的</w:t>
            </w:r>
            <w:r>
              <w:rPr>
                <w:rFonts w:hint="eastAsia" w:ascii="宋体" w:hAnsi="宋体" w:eastAsia="宋体" w:cs="宋体"/>
                <w:position w:val="14"/>
                <w:sz w:val="24"/>
                <w:szCs w:val="24"/>
                <w:highlight w:val="none"/>
                <w:lang w:eastAsia="zh-CN"/>
              </w:rPr>
              <w:t>，不得分</w:t>
            </w:r>
            <w:r>
              <w:rPr>
                <w:rFonts w:hint="eastAsia" w:ascii="宋体" w:hAnsi="宋体" w:eastAsia="宋体" w:cs="宋体"/>
                <w:position w:val="14"/>
                <w:sz w:val="24"/>
                <w:szCs w:val="24"/>
                <w:highlight w:val="none"/>
              </w:rPr>
              <w:t>。</w:t>
            </w:r>
          </w:p>
          <w:p w14:paraId="77BCDA18">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color w:val="000000"/>
                <w:position w:val="14"/>
                <w:sz w:val="24"/>
                <w:szCs w:val="24"/>
                <w:highlight w:val="none"/>
              </w:rPr>
              <w:t>③</w:t>
            </w:r>
            <w:r>
              <w:rPr>
                <w:rFonts w:hint="eastAsia" w:ascii="宋体" w:hAnsi="宋体" w:eastAsia="宋体" w:cs="宋体"/>
                <w:position w:val="14"/>
                <w:sz w:val="24"/>
                <w:szCs w:val="24"/>
                <w:highlight w:val="none"/>
              </w:rPr>
              <w:t>承诺因服务方自身工作失误（如弄丢原件、错填表格、漏报材料）导致</w:t>
            </w:r>
            <w:r>
              <w:rPr>
                <w:rFonts w:hint="eastAsia" w:ascii="宋体" w:hAnsi="宋体" w:eastAsia="宋体" w:cs="宋体"/>
                <w:position w:val="14"/>
                <w:sz w:val="24"/>
                <w:szCs w:val="24"/>
                <w:highlight w:val="none"/>
                <w:lang w:eastAsia="zh-CN"/>
              </w:rPr>
              <w:t>职工从业年限认定</w:t>
            </w:r>
            <w:r>
              <w:rPr>
                <w:rFonts w:hint="eastAsia" w:ascii="宋体" w:hAnsi="宋体" w:eastAsia="宋体" w:cs="宋体"/>
                <w:position w:val="14"/>
                <w:sz w:val="24"/>
                <w:szCs w:val="24"/>
                <w:highlight w:val="none"/>
              </w:rPr>
              <w:t>延误或受损的，承担全部直接经济赔偿及法律责任，并提供专项承诺函的，得</w:t>
            </w:r>
            <w:r>
              <w:rPr>
                <w:rFonts w:hint="eastAsia" w:ascii="宋体" w:hAnsi="宋体" w:eastAsia="宋体" w:cs="宋体"/>
                <w:position w:val="14"/>
                <w:sz w:val="24"/>
                <w:szCs w:val="24"/>
                <w:highlight w:val="none"/>
                <w:lang w:val="en-US" w:eastAsia="zh-CN"/>
              </w:rPr>
              <w:t>2</w:t>
            </w:r>
            <w:r>
              <w:rPr>
                <w:rFonts w:hint="eastAsia" w:ascii="宋体" w:hAnsi="宋体" w:eastAsia="宋体" w:cs="宋体"/>
                <w:position w:val="14"/>
                <w:sz w:val="24"/>
                <w:szCs w:val="24"/>
                <w:highlight w:val="none"/>
              </w:rPr>
              <w:t>分。</w:t>
            </w:r>
          </w:p>
        </w:tc>
      </w:tr>
      <w:tr w14:paraId="5A008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jc w:val="center"/>
        </w:trPr>
        <w:tc>
          <w:tcPr>
            <w:tcW w:w="959" w:type="dxa"/>
            <w:vMerge w:val="continue"/>
            <w:tcBorders>
              <w:top w:val="nil"/>
              <w:left w:val="single" w:color="000000" w:sz="4" w:space="0"/>
              <w:bottom w:val="nil"/>
              <w:right w:val="single" w:color="000000" w:sz="4" w:space="0"/>
            </w:tcBorders>
          </w:tcPr>
          <w:p w14:paraId="2036DC2A">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73A8FA2A">
            <w:pPr>
              <w:kinsoku w:val="0"/>
              <w:autoSpaceDE w:val="0"/>
              <w:autoSpaceDN w:val="0"/>
              <w:adjustRightInd w:val="0"/>
              <w:snapToGrid w:val="0"/>
              <w:jc w:val="center"/>
              <w:textAlignment w:val="baseline"/>
              <w:rPr>
                <w:rFonts w:hint="eastAsia" w:ascii="宋体" w:hAnsi="宋体" w:eastAsia="宋体" w:cs="宋体"/>
                <w:position w:val="14"/>
                <w:sz w:val="24"/>
                <w:szCs w:val="24"/>
              </w:rPr>
            </w:pPr>
            <w:r>
              <w:rPr>
                <w:rFonts w:ascii="宋体" w:hAnsi="宋体" w:eastAsia="宋体" w:cs="宋体"/>
                <w:position w:val="14"/>
                <w:sz w:val="24"/>
                <w:szCs w:val="24"/>
              </w:rPr>
              <w:t>保密措施与承诺</w:t>
            </w:r>
            <w:r>
              <w:rPr>
                <w:rFonts w:hint="eastAsia" w:ascii="宋体" w:hAnsi="宋体" w:eastAsia="宋体" w:cs="宋体"/>
                <w:position w:val="14"/>
                <w:sz w:val="24"/>
                <w:szCs w:val="24"/>
              </w:rPr>
              <w:t>（12分）</w:t>
            </w:r>
          </w:p>
        </w:tc>
        <w:tc>
          <w:tcPr>
            <w:tcW w:w="7575" w:type="dxa"/>
            <w:tcBorders>
              <w:top w:val="single" w:color="000000" w:sz="2" w:space="0"/>
              <w:left w:val="single" w:color="000000" w:sz="4" w:space="0"/>
              <w:bottom w:val="single" w:color="000000" w:sz="2" w:space="0"/>
              <w:right w:val="single" w:color="000000" w:sz="4" w:space="0"/>
            </w:tcBorders>
            <w:vAlign w:val="center"/>
          </w:tcPr>
          <w:p w14:paraId="4ADE1816">
            <w:pPr>
              <w:pStyle w:val="20"/>
              <w:numPr>
                <w:ilvl w:val="0"/>
                <w:numId w:val="5"/>
              </w:numPr>
              <w:kinsoku w:val="0"/>
              <w:autoSpaceDE w:val="0"/>
              <w:autoSpaceDN w:val="0"/>
              <w:adjustRightInd w:val="0"/>
              <w:snapToGrid w:val="0"/>
              <w:jc w:val="left"/>
              <w:textAlignment w:val="baseline"/>
              <w:rPr>
                <w:rFonts w:ascii="宋体" w:hAnsi="宋体" w:cs="宋体"/>
                <w:position w:val="14"/>
                <w:sz w:val="24"/>
                <w:szCs w:val="24"/>
              </w:rPr>
            </w:pPr>
            <w:r>
              <w:rPr>
                <w:rFonts w:hint="eastAsia" w:ascii="宋体" w:hAnsi="宋体" w:cs="宋体"/>
                <w:position w:val="14"/>
                <w:sz w:val="24"/>
                <w:szCs w:val="24"/>
              </w:rPr>
              <w:t>承诺中标后与采购人签订《保密协议》并对服务中知悉的全部人事信息永久保密的，得4分；未承诺永久保密或拒绝签约的，得</w:t>
            </w:r>
            <w:r>
              <w:rPr>
                <w:rFonts w:ascii="宋体" w:hAnsi="宋体" w:cs="宋体"/>
                <w:position w:val="14"/>
                <w:sz w:val="24"/>
                <w:szCs w:val="24"/>
              </w:rPr>
              <w:t>0</w:t>
            </w:r>
            <w:r>
              <w:rPr>
                <w:rFonts w:hint="eastAsia" w:ascii="宋体" w:hAnsi="宋体" w:cs="宋体"/>
                <w:position w:val="14"/>
                <w:sz w:val="24"/>
                <w:szCs w:val="24"/>
              </w:rPr>
              <w:t>分；</w:t>
            </w:r>
          </w:p>
          <w:p w14:paraId="454EDA16">
            <w:pPr>
              <w:kinsoku w:val="0"/>
              <w:autoSpaceDE w:val="0"/>
              <w:autoSpaceDN w:val="0"/>
              <w:adjustRightInd w:val="0"/>
              <w:snapToGrid w:val="0"/>
              <w:jc w:val="left"/>
              <w:textAlignment w:val="baseline"/>
              <w:rPr>
                <w:rFonts w:hint="default" w:ascii="宋体" w:hAnsi="宋体" w:eastAsia="宋体" w:cs="宋体"/>
                <w:position w:val="14"/>
                <w:sz w:val="24"/>
                <w:szCs w:val="24"/>
                <w:lang w:val="en-US"/>
              </w:rPr>
            </w:pPr>
            <w:r>
              <w:rPr>
                <w:rFonts w:hint="eastAsia" w:ascii="宋体" w:hAnsi="宋体" w:eastAsia="宋体" w:cs="宋体"/>
                <w:position w:val="14"/>
                <w:sz w:val="24"/>
                <w:szCs w:val="24"/>
              </w:rPr>
              <w:t>②提供保密管理制度、信息载体（纸质档案、电子文档）管理措施及存储介质管控方案的，</w:t>
            </w:r>
            <w:r>
              <w:rPr>
                <w:rFonts w:hint="eastAsia" w:ascii="宋体" w:hAnsi="宋体" w:eastAsia="宋体" w:cs="宋体"/>
                <w:position w:val="14"/>
                <w:sz w:val="24"/>
                <w:szCs w:val="24"/>
                <w:lang w:eastAsia="zh-CN"/>
              </w:rPr>
              <w:t>每项得</w:t>
            </w:r>
            <w:r>
              <w:rPr>
                <w:rFonts w:hint="eastAsia" w:ascii="宋体" w:hAnsi="宋体" w:eastAsia="宋体" w:cs="宋体"/>
                <w:position w:val="14"/>
                <w:sz w:val="24"/>
                <w:szCs w:val="24"/>
                <w:lang w:val="en-US" w:eastAsia="zh-CN"/>
              </w:rPr>
              <w:t>2分，最高6分。</w:t>
            </w:r>
          </w:p>
          <w:p w14:paraId="046962D0">
            <w:pPr>
              <w:pStyle w:val="20"/>
              <w:numPr>
                <w:ilvl w:val="0"/>
                <w:numId w:val="4"/>
              </w:numPr>
              <w:kinsoku w:val="0"/>
              <w:autoSpaceDE w:val="0"/>
              <w:autoSpaceDN w:val="0"/>
              <w:adjustRightInd w:val="0"/>
              <w:snapToGrid w:val="0"/>
              <w:jc w:val="left"/>
              <w:textAlignment w:val="baseline"/>
              <w:rPr>
                <w:rFonts w:hint="eastAsia" w:ascii="宋体" w:hAnsi="宋体" w:cs="宋体"/>
                <w:position w:val="14"/>
                <w:sz w:val="24"/>
                <w:szCs w:val="24"/>
              </w:rPr>
            </w:pPr>
            <w:r>
              <w:rPr>
                <w:rFonts w:hint="eastAsia" w:ascii="宋体" w:hAnsi="宋体" w:cs="宋体"/>
                <w:position w:val="14"/>
                <w:sz w:val="24"/>
                <w:szCs w:val="24"/>
              </w:rPr>
              <w:t>提交泄露信息赔偿及法律责任承担承诺，得2分。</w:t>
            </w:r>
          </w:p>
        </w:tc>
      </w:tr>
      <w:tr w14:paraId="78F7E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959" w:type="dxa"/>
            <w:tcBorders>
              <w:top w:val="single" w:color="auto" w:sz="4" w:space="0"/>
              <w:left w:val="single" w:color="000000" w:sz="4" w:space="0"/>
              <w:bottom w:val="single" w:color="000000" w:sz="4" w:space="0"/>
              <w:right w:val="single" w:color="000000" w:sz="4" w:space="0"/>
            </w:tcBorders>
            <w:vAlign w:val="center"/>
          </w:tcPr>
          <w:p w14:paraId="60415A04">
            <w:pPr>
              <w:pStyle w:val="8"/>
              <w:rPr>
                <w:rFonts w:hint="eastAsia" w:ascii="宋体" w:hAnsi="宋体" w:eastAsia="宋体" w:cs="宋体"/>
                <w:spacing w:val="-1"/>
                <w:sz w:val="24"/>
                <w:szCs w:val="24"/>
                <w:lang w:val="en-US"/>
              </w:rPr>
            </w:pPr>
          </w:p>
        </w:tc>
        <w:tc>
          <w:tcPr>
            <w:tcW w:w="1647" w:type="dxa"/>
            <w:tcBorders>
              <w:top w:val="single" w:color="auto" w:sz="4" w:space="0"/>
              <w:left w:val="single" w:color="000000" w:sz="4" w:space="0"/>
              <w:bottom w:val="single" w:color="000000" w:sz="4" w:space="0"/>
              <w:right w:val="single" w:color="000000" w:sz="4" w:space="0"/>
            </w:tcBorders>
            <w:vAlign w:val="center"/>
          </w:tcPr>
          <w:p w14:paraId="46274357">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ascii="宋体" w:hAnsi="宋体" w:eastAsia="宋体" w:cs="宋体"/>
                <w:color w:val="000000"/>
                <w:position w:val="14"/>
                <w:sz w:val="24"/>
                <w:szCs w:val="24"/>
              </w:rPr>
              <w:t>应急与服务响应</w:t>
            </w:r>
            <w:r>
              <w:rPr>
                <w:rFonts w:hint="eastAsia" w:ascii="宋体" w:hAnsi="宋体" w:eastAsia="宋体" w:cs="宋体"/>
                <w:color w:val="000000"/>
                <w:position w:val="14"/>
                <w:sz w:val="24"/>
                <w:szCs w:val="24"/>
              </w:rPr>
              <w:t>（10分）</w:t>
            </w:r>
          </w:p>
        </w:tc>
        <w:tc>
          <w:tcPr>
            <w:tcW w:w="7575" w:type="dxa"/>
            <w:tcBorders>
              <w:top w:val="single" w:color="auto" w:sz="4" w:space="0"/>
              <w:left w:val="single" w:color="000000" w:sz="4" w:space="0"/>
              <w:bottom w:val="single" w:color="000000" w:sz="2" w:space="0"/>
              <w:right w:val="single" w:color="000000" w:sz="4" w:space="0"/>
            </w:tcBorders>
            <w:vAlign w:val="center"/>
          </w:tcPr>
          <w:p w14:paraId="26889217">
            <w:pPr>
              <w:pStyle w:val="20"/>
              <w:numPr>
                <w:ilvl w:val="0"/>
                <w:numId w:val="6"/>
              </w:numPr>
              <w:kinsoku w:val="0"/>
              <w:autoSpaceDE w:val="0"/>
              <w:autoSpaceDN w:val="0"/>
              <w:adjustRightInd w:val="0"/>
              <w:snapToGrid w:val="0"/>
              <w:jc w:val="left"/>
              <w:textAlignment w:val="baseline"/>
              <w:rPr>
                <w:rFonts w:ascii="宋体" w:hAnsi="宋体" w:cs="宋体"/>
                <w:position w:val="14"/>
                <w:sz w:val="24"/>
                <w:szCs w:val="24"/>
                <w:highlight w:val="none"/>
              </w:rPr>
            </w:pPr>
            <w:r>
              <w:rPr>
                <w:rFonts w:hint="eastAsia" w:ascii="宋体" w:hAnsi="宋体" w:cs="宋体"/>
                <w:position w:val="14"/>
                <w:sz w:val="24"/>
                <w:szCs w:val="24"/>
                <w:highlight w:val="none"/>
              </w:rPr>
              <w:t>人员请假、离职、突发状况下的替补方案完整可行</w:t>
            </w:r>
            <w:r>
              <w:rPr>
                <w:rFonts w:hint="eastAsia" w:ascii="宋体" w:hAnsi="宋体" w:cs="宋体"/>
                <w:position w:val="14"/>
                <w:sz w:val="24"/>
                <w:szCs w:val="24"/>
                <w:highlight w:val="none"/>
                <w:lang w:eastAsia="zh-CN"/>
              </w:rPr>
              <w:t>得</w:t>
            </w:r>
            <w:r>
              <w:rPr>
                <w:rFonts w:hint="eastAsia" w:ascii="宋体" w:hAnsi="宋体" w:cs="宋体"/>
                <w:position w:val="14"/>
                <w:sz w:val="24"/>
                <w:szCs w:val="24"/>
                <w:highlight w:val="none"/>
                <w:lang w:val="en-US" w:eastAsia="zh-CN"/>
              </w:rPr>
              <w:t>3分</w:t>
            </w:r>
            <w:r>
              <w:rPr>
                <w:rFonts w:hint="eastAsia" w:ascii="宋体" w:hAnsi="宋体" w:cs="宋体"/>
                <w:position w:val="14"/>
                <w:sz w:val="24"/>
                <w:szCs w:val="24"/>
                <w:highlight w:val="none"/>
                <w:lang w:eastAsia="zh-CN"/>
              </w:rPr>
              <w:t>，方案中</w:t>
            </w:r>
            <w:r>
              <w:rPr>
                <w:rFonts w:hint="eastAsia" w:ascii="宋体" w:hAnsi="宋体" w:cs="宋体"/>
                <w:position w:val="14"/>
                <w:sz w:val="24"/>
                <w:szCs w:val="24"/>
                <w:highlight w:val="none"/>
              </w:rPr>
              <w:t>替补人员到位时限≤</w:t>
            </w:r>
            <w:r>
              <w:rPr>
                <w:rFonts w:hint="eastAsia" w:ascii="宋体" w:hAnsi="宋体" w:cs="宋体"/>
                <w:position w:val="14"/>
                <w:sz w:val="24"/>
                <w:szCs w:val="24"/>
                <w:highlight w:val="none"/>
                <w:lang w:val="en-US" w:eastAsia="zh-CN"/>
              </w:rPr>
              <w:t>2</w:t>
            </w:r>
            <w:r>
              <w:rPr>
                <w:rFonts w:hint="eastAsia" w:ascii="宋体" w:hAnsi="宋体" w:cs="宋体"/>
                <w:position w:val="14"/>
                <w:sz w:val="24"/>
                <w:szCs w:val="24"/>
                <w:highlight w:val="none"/>
              </w:rPr>
              <w:t>个工作日的</w:t>
            </w:r>
            <w:r>
              <w:rPr>
                <w:rFonts w:hint="eastAsia" w:ascii="宋体" w:hAnsi="宋体" w:cs="宋体"/>
                <w:position w:val="14"/>
                <w:sz w:val="24"/>
                <w:szCs w:val="24"/>
                <w:highlight w:val="none"/>
                <w:lang w:eastAsia="zh-CN"/>
              </w:rPr>
              <w:t>得</w:t>
            </w:r>
            <w:r>
              <w:rPr>
                <w:rFonts w:hint="eastAsia" w:ascii="宋体" w:hAnsi="宋体" w:cs="宋体"/>
                <w:position w:val="14"/>
                <w:sz w:val="24"/>
                <w:szCs w:val="24"/>
                <w:highlight w:val="none"/>
                <w:lang w:val="en-US" w:eastAsia="zh-CN"/>
              </w:rPr>
              <w:t>2分</w:t>
            </w:r>
            <w:r>
              <w:rPr>
                <w:rFonts w:hint="eastAsia" w:ascii="宋体" w:hAnsi="宋体" w:cs="宋体"/>
                <w:position w:val="14"/>
                <w:sz w:val="24"/>
                <w:szCs w:val="24"/>
                <w:highlight w:val="none"/>
              </w:rPr>
              <w:t>；</w:t>
            </w:r>
          </w:p>
          <w:p w14:paraId="5BF6A8BC">
            <w:pPr>
              <w:pStyle w:val="20"/>
              <w:numPr>
                <w:ilvl w:val="0"/>
                <w:numId w:val="6"/>
              </w:numPr>
              <w:kinsoku w:val="0"/>
              <w:autoSpaceDE w:val="0"/>
              <w:autoSpaceDN w:val="0"/>
              <w:adjustRightInd w:val="0"/>
              <w:snapToGrid w:val="0"/>
              <w:jc w:val="left"/>
              <w:textAlignment w:val="baseline"/>
              <w:rPr>
                <w:rFonts w:ascii="宋体" w:hAnsi="宋体" w:cs="宋体"/>
                <w:position w:val="14"/>
                <w:sz w:val="24"/>
                <w:szCs w:val="24"/>
                <w:highlight w:val="none"/>
              </w:rPr>
            </w:pPr>
            <w:r>
              <w:rPr>
                <w:rFonts w:hint="eastAsia" w:ascii="宋体" w:hAnsi="宋体" w:cs="宋体"/>
                <w:position w:val="14"/>
                <w:sz w:val="24"/>
                <w:szCs w:val="24"/>
                <w:highlight w:val="none"/>
              </w:rPr>
              <w:t>对采购人及上级单位反馈问题</w:t>
            </w:r>
            <w:r>
              <w:rPr>
                <w:rFonts w:hint="eastAsia" w:ascii="宋体" w:hAnsi="宋体" w:cs="宋体"/>
                <w:position w:val="14"/>
                <w:sz w:val="24"/>
                <w:szCs w:val="24"/>
                <w:highlight w:val="none"/>
                <w:lang w:eastAsia="zh-CN"/>
              </w:rPr>
              <w:t>建立闭环管理机制</w:t>
            </w:r>
            <w:r>
              <w:rPr>
                <w:rFonts w:hint="eastAsia" w:ascii="宋体" w:hAnsi="宋体" w:cs="宋体"/>
                <w:position w:val="14"/>
                <w:sz w:val="24"/>
                <w:szCs w:val="24"/>
                <w:highlight w:val="none"/>
              </w:rPr>
              <w:t>并形成台账</w:t>
            </w:r>
            <w:r>
              <w:rPr>
                <w:rFonts w:hint="eastAsia" w:ascii="宋体" w:hAnsi="宋体" w:cs="宋体"/>
                <w:position w:val="14"/>
                <w:sz w:val="24"/>
                <w:szCs w:val="24"/>
                <w:highlight w:val="none"/>
                <w:lang w:eastAsia="zh-CN"/>
              </w:rPr>
              <w:t>，</w:t>
            </w:r>
            <w:r>
              <w:rPr>
                <w:rFonts w:hint="eastAsia" w:ascii="宋体" w:hAnsi="宋体" w:cs="宋体"/>
                <w:position w:val="14"/>
                <w:sz w:val="24"/>
                <w:szCs w:val="24"/>
                <w:highlight w:val="none"/>
              </w:rPr>
              <w:t>得3～5分。</w:t>
            </w:r>
          </w:p>
          <w:p w14:paraId="4A033AEA">
            <w:pPr>
              <w:kinsoku w:val="0"/>
              <w:autoSpaceDE w:val="0"/>
              <w:autoSpaceDN w:val="0"/>
              <w:adjustRightInd w:val="0"/>
              <w:snapToGrid w:val="0"/>
              <w:jc w:val="left"/>
              <w:textAlignment w:val="baseline"/>
              <w:rPr>
                <w:rFonts w:hint="eastAsia" w:ascii="宋体" w:hAnsi="宋体" w:eastAsia="宋体" w:cs="宋体"/>
                <w:position w:val="14"/>
                <w:sz w:val="24"/>
                <w:szCs w:val="24"/>
                <w:highlight w:val="none"/>
              </w:rPr>
            </w:pPr>
            <w:r>
              <w:rPr>
                <w:rFonts w:hint="eastAsia" w:ascii="宋体" w:hAnsi="宋体" w:eastAsia="宋体" w:cs="宋体"/>
                <w:position w:val="14"/>
                <w:sz w:val="24"/>
                <w:szCs w:val="24"/>
                <w:highlight w:val="none"/>
              </w:rPr>
              <w:t>方案缺失或明显不具可操作性的</w:t>
            </w:r>
            <w:r>
              <w:rPr>
                <w:rFonts w:hint="eastAsia" w:ascii="宋体" w:hAnsi="宋体" w:eastAsia="宋体" w:cs="宋体"/>
                <w:position w:val="14"/>
                <w:sz w:val="24"/>
                <w:szCs w:val="24"/>
                <w:highlight w:val="none"/>
                <w:lang w:eastAsia="zh-CN"/>
              </w:rPr>
              <w:t>不得分</w:t>
            </w:r>
            <w:r>
              <w:rPr>
                <w:rFonts w:hint="eastAsia" w:ascii="宋体" w:hAnsi="宋体" w:eastAsia="宋体" w:cs="宋体"/>
                <w:position w:val="14"/>
                <w:sz w:val="24"/>
                <w:szCs w:val="24"/>
                <w:highlight w:val="none"/>
              </w:rPr>
              <w:t>。</w:t>
            </w:r>
          </w:p>
        </w:tc>
      </w:tr>
      <w:tr w14:paraId="1E460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959" w:type="dxa"/>
            <w:tcBorders>
              <w:top w:val="single" w:color="auto" w:sz="4" w:space="0"/>
              <w:left w:val="single" w:color="000000" w:sz="4" w:space="0"/>
              <w:bottom w:val="single" w:color="000000" w:sz="4" w:space="0"/>
              <w:right w:val="single" w:color="000000" w:sz="4" w:space="0"/>
            </w:tcBorders>
            <w:vAlign w:val="center"/>
          </w:tcPr>
          <w:p w14:paraId="5A83FB55">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商务</w:t>
            </w:r>
          </w:p>
          <w:p w14:paraId="144DDD66">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部分</w:t>
            </w:r>
          </w:p>
          <w:p w14:paraId="0A334CA7">
            <w:pPr>
              <w:pStyle w:val="8"/>
              <w:rPr>
                <w:rFonts w:hint="eastAsia" w:ascii="宋体" w:hAnsi="宋体" w:eastAsia="宋体" w:cs="宋体"/>
                <w:sz w:val="24"/>
                <w:szCs w:val="24"/>
              </w:rPr>
            </w:pPr>
            <w:r>
              <w:rPr>
                <w:rFonts w:hint="eastAsia" w:ascii="宋体" w:hAnsi="宋体" w:eastAsia="宋体" w:cs="宋体"/>
                <w:spacing w:val="-1"/>
                <w:sz w:val="24"/>
                <w:szCs w:val="24"/>
              </w:rPr>
              <w:t>（</w:t>
            </w:r>
            <w:r>
              <w:rPr>
                <w:rFonts w:hint="eastAsia" w:ascii="宋体" w:hAnsi="宋体" w:eastAsia="宋体" w:cs="宋体"/>
                <w:spacing w:val="-1"/>
                <w:sz w:val="24"/>
                <w:szCs w:val="24"/>
                <w:lang w:val="en-US"/>
              </w:rPr>
              <w:t>10分</w:t>
            </w:r>
            <w:r>
              <w:rPr>
                <w:rFonts w:hint="eastAsia" w:ascii="宋体" w:hAnsi="宋体" w:eastAsia="宋体" w:cs="宋体"/>
                <w:spacing w:val="-1"/>
                <w:sz w:val="24"/>
                <w:szCs w:val="24"/>
              </w:rPr>
              <w:t>）</w:t>
            </w:r>
          </w:p>
        </w:tc>
        <w:tc>
          <w:tcPr>
            <w:tcW w:w="1647" w:type="dxa"/>
            <w:tcBorders>
              <w:top w:val="single" w:color="auto" w:sz="4" w:space="0"/>
              <w:left w:val="single" w:color="000000" w:sz="4" w:space="0"/>
              <w:bottom w:val="single" w:color="000000" w:sz="4" w:space="0"/>
              <w:right w:val="single" w:color="000000" w:sz="4" w:space="0"/>
            </w:tcBorders>
            <w:vAlign w:val="center"/>
          </w:tcPr>
          <w:p w14:paraId="6D1057CA">
            <w:pPr>
              <w:kinsoku w:val="0"/>
              <w:autoSpaceDE w:val="0"/>
              <w:autoSpaceDN w:val="0"/>
              <w:adjustRightInd w:val="0"/>
              <w:snapToGrid w:val="0"/>
              <w:ind w:firstLine="480" w:firstLineChars="20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业绩</w:t>
            </w:r>
          </w:p>
          <w:p w14:paraId="2704D845">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（10分）</w:t>
            </w:r>
          </w:p>
        </w:tc>
        <w:tc>
          <w:tcPr>
            <w:tcW w:w="7575" w:type="dxa"/>
            <w:tcBorders>
              <w:top w:val="single" w:color="auto" w:sz="4" w:space="0"/>
              <w:left w:val="single" w:color="000000" w:sz="4" w:space="0"/>
              <w:bottom w:val="single" w:color="000000" w:sz="2" w:space="0"/>
              <w:right w:val="single" w:color="000000" w:sz="4" w:space="0"/>
            </w:tcBorders>
            <w:vAlign w:val="center"/>
          </w:tcPr>
          <w:p w14:paraId="115E3064">
            <w:pPr>
              <w:kinsoku w:val="0"/>
              <w:autoSpaceDE w:val="0"/>
              <w:autoSpaceDN w:val="0"/>
              <w:adjustRightInd w:val="0"/>
              <w:snapToGrid w:val="0"/>
              <w:jc w:val="left"/>
              <w:textAlignment w:val="baseline"/>
              <w:rPr>
                <w:rFonts w:ascii="宋体" w:hAnsi="宋体" w:eastAsia="宋体" w:cs="宋体"/>
                <w:position w:val="14"/>
                <w:sz w:val="24"/>
                <w:szCs w:val="24"/>
              </w:rPr>
            </w:pPr>
            <w:r>
              <w:rPr>
                <w:rFonts w:hint="eastAsia" w:ascii="宋体" w:hAnsi="宋体" w:eastAsia="宋体" w:cs="宋体"/>
                <w:position w:val="14"/>
                <w:sz w:val="24"/>
                <w:szCs w:val="24"/>
              </w:rPr>
              <w:t>2023年</w:t>
            </w:r>
            <w:r>
              <w:rPr>
                <w:rFonts w:hint="eastAsia" w:ascii="宋体" w:hAnsi="宋体" w:eastAsia="宋体" w:cs="宋体"/>
                <w:position w:val="14"/>
                <w:sz w:val="24"/>
                <w:szCs w:val="24"/>
                <w:lang w:val="en-US" w:eastAsia="zh-CN"/>
              </w:rPr>
              <w:t>10月1日</w:t>
            </w:r>
            <w:r>
              <w:rPr>
                <w:rFonts w:hint="eastAsia" w:ascii="宋体" w:hAnsi="宋体" w:eastAsia="宋体" w:cs="宋体"/>
                <w:position w:val="14"/>
                <w:sz w:val="24"/>
                <w:szCs w:val="24"/>
              </w:rPr>
              <w:t>以后（以合同签订时间为准）具有国家机关、事业单位或国有企业人事档案整理、</w:t>
            </w:r>
            <w:r>
              <w:rPr>
                <w:rFonts w:hint="eastAsia" w:ascii="宋体" w:hAnsi="宋体" w:eastAsia="宋体" w:cs="宋体"/>
                <w:position w:val="14"/>
                <w:sz w:val="24"/>
                <w:szCs w:val="24"/>
                <w:lang w:eastAsia="zh-CN"/>
              </w:rPr>
              <w:t>职工从业年限认定</w:t>
            </w:r>
            <w:r>
              <w:rPr>
                <w:rFonts w:hint="eastAsia" w:ascii="宋体" w:hAnsi="宋体" w:eastAsia="宋体" w:cs="宋体"/>
                <w:position w:val="14"/>
                <w:sz w:val="24"/>
                <w:szCs w:val="24"/>
              </w:rPr>
              <w:t>、社保经办等同类项目业绩的，每提供</w:t>
            </w:r>
            <w:r>
              <w:rPr>
                <w:rFonts w:ascii="宋体" w:hAnsi="宋体" w:eastAsia="宋体" w:cs="宋体"/>
                <w:position w:val="14"/>
                <w:sz w:val="24"/>
                <w:szCs w:val="24"/>
              </w:rPr>
              <w:t>1</w:t>
            </w:r>
            <w:r>
              <w:rPr>
                <w:rFonts w:hint="eastAsia" w:ascii="宋体" w:hAnsi="宋体" w:eastAsia="宋体" w:cs="宋体"/>
                <w:position w:val="14"/>
                <w:sz w:val="24"/>
                <w:szCs w:val="24"/>
              </w:rPr>
              <w:t>个得5分，最高10分。</w:t>
            </w:r>
          </w:p>
          <w:p w14:paraId="3FD9B6C9">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要求时间以合同签订时间为准。业绩（销售或服务合同）中甲乙双方签章、合同签订时间、合同金额和项目名称必须清晰，否则不予承认。</w:t>
            </w:r>
          </w:p>
        </w:tc>
      </w:tr>
    </w:tbl>
    <w:p w14:paraId="6EC9FF0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1489805E">
      <w:pPr>
        <w:pStyle w:val="2"/>
        <w:rPr>
          <w:rFonts w:hint="eastAsia" w:ascii="宋体" w:hAnsi="宋体" w:eastAsia="宋体" w:cs="宋体"/>
          <w:b/>
          <w:sz w:val="28"/>
          <w:szCs w:val="28"/>
          <w:lang w:val="en-US" w:eastAsia="zh-CN"/>
        </w:rPr>
      </w:pPr>
    </w:p>
    <w:p w14:paraId="1FDDF6D8">
      <w:pPr>
        <w:pStyle w:val="2"/>
        <w:rPr>
          <w:rFonts w:hint="eastAsia" w:ascii="宋体" w:hAnsi="宋体" w:eastAsia="宋体" w:cs="宋体"/>
          <w:b/>
          <w:sz w:val="28"/>
          <w:szCs w:val="28"/>
          <w:lang w:val="en-US" w:eastAsia="zh-CN"/>
        </w:rPr>
      </w:pPr>
    </w:p>
    <w:p w14:paraId="2282778A">
      <w:pPr>
        <w:pStyle w:val="2"/>
        <w:rPr>
          <w:rFonts w:hint="eastAsia" w:ascii="宋体" w:hAnsi="宋体" w:eastAsia="宋体" w:cs="宋体"/>
          <w:b/>
          <w:sz w:val="28"/>
          <w:szCs w:val="28"/>
          <w:lang w:val="en-US" w:eastAsia="zh-CN"/>
        </w:rPr>
      </w:pPr>
    </w:p>
    <w:p w14:paraId="7C90A538">
      <w:pPr>
        <w:pStyle w:val="2"/>
        <w:rPr>
          <w:rFonts w:hint="eastAsia" w:ascii="宋体" w:hAnsi="宋体" w:eastAsia="宋体" w:cs="宋体"/>
          <w:b/>
          <w:sz w:val="28"/>
          <w:szCs w:val="28"/>
          <w:lang w:val="en-US" w:eastAsia="zh-CN"/>
        </w:rPr>
      </w:pPr>
    </w:p>
    <w:p w14:paraId="258BF16F">
      <w:pPr>
        <w:pStyle w:val="2"/>
        <w:rPr>
          <w:rFonts w:hint="eastAsia" w:ascii="宋体" w:hAnsi="宋体" w:eastAsia="宋体" w:cs="宋体"/>
          <w:b/>
          <w:sz w:val="28"/>
          <w:szCs w:val="28"/>
          <w:lang w:val="en-US" w:eastAsia="zh-CN"/>
        </w:rPr>
      </w:pPr>
    </w:p>
    <w:p w14:paraId="71C730B9">
      <w:pPr>
        <w:pStyle w:val="2"/>
        <w:rPr>
          <w:rFonts w:hint="eastAsia" w:ascii="宋体" w:hAnsi="宋体" w:eastAsia="宋体" w:cs="宋体"/>
          <w:b/>
          <w:sz w:val="28"/>
          <w:szCs w:val="28"/>
          <w:lang w:val="en-US" w:eastAsia="zh-CN"/>
        </w:rPr>
      </w:pPr>
    </w:p>
    <w:p w14:paraId="480EFABA">
      <w:pPr>
        <w:pStyle w:val="2"/>
        <w:rPr>
          <w:rFonts w:hint="eastAsia" w:ascii="宋体" w:hAnsi="宋体" w:eastAsia="宋体" w:cs="宋体"/>
          <w:b/>
          <w:sz w:val="28"/>
          <w:szCs w:val="28"/>
          <w:lang w:val="en-US" w:eastAsia="zh-CN"/>
        </w:rPr>
      </w:pPr>
    </w:p>
    <w:p w14:paraId="592820F8">
      <w:pPr>
        <w:pStyle w:val="2"/>
        <w:rPr>
          <w:rFonts w:hint="eastAsia" w:ascii="宋体" w:hAnsi="宋体" w:eastAsia="宋体" w:cs="宋体"/>
          <w:b/>
          <w:sz w:val="28"/>
          <w:szCs w:val="28"/>
          <w:lang w:val="en-US" w:eastAsia="zh-CN"/>
        </w:rPr>
      </w:pPr>
    </w:p>
    <w:p w14:paraId="25B501A4">
      <w:pPr>
        <w:pStyle w:val="2"/>
        <w:rPr>
          <w:rFonts w:hint="eastAsia" w:ascii="宋体" w:hAnsi="宋体" w:eastAsia="宋体" w:cs="宋体"/>
          <w:b/>
          <w:sz w:val="28"/>
          <w:szCs w:val="28"/>
          <w:lang w:val="en-US" w:eastAsia="zh-CN"/>
        </w:rPr>
      </w:pPr>
    </w:p>
    <w:p w14:paraId="1AE51A4E">
      <w:pPr>
        <w:pStyle w:val="2"/>
        <w:rPr>
          <w:rFonts w:hint="eastAsia" w:ascii="宋体" w:hAnsi="宋体" w:eastAsia="宋体" w:cs="宋体"/>
          <w:b/>
          <w:sz w:val="28"/>
          <w:szCs w:val="28"/>
          <w:lang w:val="en-US" w:eastAsia="zh-CN"/>
        </w:rPr>
      </w:pPr>
    </w:p>
    <w:p w14:paraId="06E36F42">
      <w:pPr>
        <w:pStyle w:val="2"/>
        <w:rPr>
          <w:rFonts w:hint="eastAsia" w:ascii="宋体" w:hAnsi="宋体" w:eastAsia="宋体" w:cs="宋体"/>
          <w:b/>
          <w:sz w:val="28"/>
          <w:szCs w:val="28"/>
          <w:lang w:val="en-US" w:eastAsia="zh-CN"/>
        </w:rPr>
      </w:pPr>
    </w:p>
    <w:p w14:paraId="7FFFDC39">
      <w:pPr>
        <w:pStyle w:val="2"/>
        <w:rPr>
          <w:rFonts w:hint="eastAsia" w:ascii="宋体" w:hAnsi="宋体" w:eastAsia="宋体" w:cs="宋体"/>
          <w:b/>
          <w:sz w:val="28"/>
          <w:szCs w:val="28"/>
          <w:lang w:val="en-US" w:eastAsia="zh-CN"/>
        </w:rPr>
      </w:pPr>
    </w:p>
    <w:p w14:paraId="12989A57">
      <w:pPr>
        <w:pStyle w:val="2"/>
        <w:rPr>
          <w:rFonts w:hint="eastAsia" w:ascii="宋体" w:hAnsi="宋体" w:eastAsia="宋体" w:cs="宋体"/>
          <w:b/>
          <w:sz w:val="28"/>
          <w:szCs w:val="28"/>
          <w:lang w:val="en-US" w:eastAsia="zh-CN"/>
        </w:rPr>
      </w:pPr>
    </w:p>
    <w:p w14:paraId="749AE9A2">
      <w:pPr>
        <w:pStyle w:val="2"/>
        <w:rPr>
          <w:rFonts w:hint="eastAsia" w:ascii="宋体" w:hAnsi="宋体" w:eastAsia="宋体" w:cs="宋体"/>
          <w:b/>
          <w:sz w:val="28"/>
          <w:szCs w:val="28"/>
          <w:lang w:val="en-US" w:eastAsia="zh-CN"/>
        </w:rPr>
      </w:pPr>
    </w:p>
    <w:p w14:paraId="24C31705">
      <w:pPr>
        <w:pStyle w:val="2"/>
        <w:rPr>
          <w:rFonts w:hint="eastAsia" w:ascii="宋体" w:hAnsi="宋体" w:eastAsia="宋体" w:cs="宋体"/>
          <w:b/>
          <w:sz w:val="28"/>
          <w:szCs w:val="28"/>
          <w:lang w:val="en-US" w:eastAsia="zh-CN"/>
        </w:rPr>
      </w:pPr>
    </w:p>
    <w:p w14:paraId="3C04085B">
      <w:pPr>
        <w:pStyle w:val="2"/>
        <w:rPr>
          <w:rFonts w:hint="eastAsia" w:ascii="宋体" w:hAnsi="宋体" w:eastAsia="宋体" w:cs="宋体"/>
          <w:b/>
          <w:sz w:val="28"/>
          <w:szCs w:val="28"/>
          <w:lang w:val="en-US" w:eastAsia="zh-CN"/>
        </w:rPr>
      </w:pPr>
    </w:p>
    <w:p w14:paraId="46842373">
      <w:pPr>
        <w:pStyle w:val="2"/>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1" w:name="_Toc422403383"/>
    </w:p>
    <w:p w14:paraId="7EBAF13C"/>
    <w:p w14:paraId="4991E38E"/>
    <w:p w14:paraId="7D4A33AB">
      <w:pPr>
        <w:pStyle w:val="10"/>
      </w:pPr>
    </w:p>
    <w:p w14:paraId="3132B795"/>
    <w:p w14:paraId="0A576042">
      <w:pPr>
        <w:pStyle w:val="10"/>
      </w:pPr>
    </w:p>
    <w:p w14:paraId="6DC81925"/>
    <w:p w14:paraId="73950FA8">
      <w:pPr>
        <w:pStyle w:val="10"/>
      </w:pPr>
    </w:p>
    <w:p w14:paraId="3D3ADE1E"/>
    <w:p w14:paraId="3EA602B9">
      <w:pPr>
        <w:pStyle w:val="10"/>
      </w:pPr>
    </w:p>
    <w:p w14:paraId="1C2369B1"/>
    <w:p w14:paraId="3D46A060">
      <w:pPr>
        <w:pStyle w:val="10"/>
      </w:pPr>
    </w:p>
    <w:p w14:paraId="0941FFCE"/>
    <w:p w14:paraId="46CE1A36">
      <w:pPr>
        <w:pStyle w:val="10"/>
      </w:pPr>
    </w:p>
    <w:p w14:paraId="2D3AA324"/>
    <w:p w14:paraId="5C50B345">
      <w:pPr>
        <w:pStyle w:val="10"/>
      </w:pPr>
    </w:p>
    <w:p w14:paraId="1C24A7AD"/>
    <w:p w14:paraId="38F03B4E">
      <w:pPr>
        <w:pStyle w:val="10"/>
      </w:pPr>
    </w:p>
    <w:p w14:paraId="5AB51ED1"/>
    <w:p w14:paraId="6F67E51F">
      <w:pPr>
        <w:pStyle w:val="10"/>
      </w:pPr>
    </w:p>
    <w:p w14:paraId="74F8E7E8"/>
    <w:p w14:paraId="5CC96C96">
      <w:pPr>
        <w:pStyle w:val="4"/>
        <w:rPr>
          <w:rFonts w:hint="eastAsia" w:ascii="宋体" w:hAnsi="宋体" w:eastAsia="宋体" w:cs="宋体"/>
          <w:color w:val="000000"/>
        </w:rPr>
      </w:pPr>
      <w:r>
        <w:rPr>
          <w:rFonts w:hint="eastAsia" w:ascii="宋体" w:hAnsi="宋体" w:eastAsia="宋体" w:cs="宋体"/>
          <w:color w:val="000000"/>
        </w:rPr>
        <w:t>（封面）</w:t>
      </w:r>
      <w:bookmarkEnd w:id="1"/>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w:t>
      </w:r>
      <w:r>
        <w:rPr>
          <w:rFonts w:hint="eastAsia" w:ascii="宋体" w:hAnsi="宋体" w:eastAsia="宋体" w:cs="宋体"/>
          <w:b w:val="0"/>
          <w:color w:val="000000"/>
          <w:sz w:val="24"/>
          <w:szCs w:val="24"/>
          <w:lang w:val="en-US" w:eastAsia="zh-CN"/>
        </w:rPr>
        <w:t>综合评审表各项响应内容</w:t>
      </w:r>
      <w:r>
        <w:rPr>
          <w:rFonts w:ascii="宋体" w:hAnsi="宋体" w:eastAsia="宋体" w:cs="宋体"/>
          <w:b w:val="0"/>
          <w:color w:val="000000"/>
          <w:sz w:val="24"/>
          <w:szCs w:val="24"/>
        </w:rPr>
        <w:t>........................................</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D9732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03D641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287F6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8"/>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7"/>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入场时间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分项报价表（如有）</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6"/>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（营业执照、资质证书等复印件）</w:t>
      </w:r>
    </w:p>
    <w:p w14:paraId="00C9085F">
      <w:pPr>
        <w:pStyle w:val="5"/>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5"/>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5"/>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5"/>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5"/>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5"/>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5"/>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5"/>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5"/>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5"/>
        <w:rPr>
          <w:rFonts w:hint="eastAsia"/>
        </w:rPr>
      </w:pPr>
    </w:p>
    <w:p w14:paraId="17F60C46">
      <w:pPr>
        <w:keepNext w:val="0"/>
        <w:keepLines w:val="0"/>
        <w:pageBreakBefore w:val="0"/>
        <w:widowControl/>
        <w:numPr>
          <w:ilvl w:val="0"/>
          <w:numId w:val="9"/>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综合评审表各项响应内容</w:t>
      </w: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十五、其它</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4705F7"/>
    <w:multiLevelType w:val="multilevel"/>
    <w:tmpl w:val="234705F7"/>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2">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3">
    <w:nsid w:val="30FF714B"/>
    <w:multiLevelType w:val="multilevel"/>
    <w:tmpl w:val="30FF714B"/>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43B5E7C1"/>
    <w:multiLevelType w:val="singleLevel"/>
    <w:tmpl w:val="43B5E7C1"/>
    <w:lvl w:ilvl="0" w:tentative="0">
      <w:start w:val="14"/>
      <w:numFmt w:val="chineseCounting"/>
      <w:suff w:val="nothing"/>
      <w:lvlText w:val="%1、"/>
      <w:lvlJc w:val="left"/>
      <w:rPr>
        <w:rFonts w:hint="eastAsia"/>
      </w:rPr>
    </w:lvl>
  </w:abstractNum>
  <w:abstractNum w:abstractNumId="5">
    <w:nsid w:val="4F98B867"/>
    <w:multiLevelType w:val="singleLevel"/>
    <w:tmpl w:val="4F98B867"/>
    <w:lvl w:ilvl="0" w:tentative="0">
      <w:start w:val="5"/>
      <w:numFmt w:val="decimal"/>
      <w:suff w:val="nothing"/>
      <w:lvlText w:val="（%1）"/>
      <w:lvlJc w:val="left"/>
    </w:lvl>
  </w:abstractNum>
  <w:abstractNum w:abstractNumId="6">
    <w:nsid w:val="5C6A04CC"/>
    <w:multiLevelType w:val="singleLevel"/>
    <w:tmpl w:val="5C6A04CC"/>
    <w:lvl w:ilvl="0" w:tentative="0">
      <w:start w:val="1"/>
      <w:numFmt w:val="chineseCounting"/>
      <w:suff w:val="space"/>
      <w:lvlText w:val="第%1章"/>
      <w:lvlJc w:val="left"/>
      <w:rPr>
        <w:rFonts w:hint="eastAsia"/>
      </w:rPr>
    </w:lvl>
  </w:abstractNum>
  <w:abstractNum w:abstractNumId="7">
    <w:nsid w:val="6AA9C9E5"/>
    <w:multiLevelType w:val="singleLevel"/>
    <w:tmpl w:val="6AA9C9E5"/>
    <w:lvl w:ilvl="0" w:tentative="0">
      <w:start w:val="2"/>
      <w:numFmt w:val="chineseCounting"/>
      <w:suff w:val="nothing"/>
      <w:lvlText w:val="%1、"/>
      <w:lvlJc w:val="left"/>
      <w:rPr>
        <w:rFonts w:hint="eastAsia"/>
      </w:rPr>
    </w:lvl>
  </w:abstractNum>
  <w:abstractNum w:abstractNumId="8">
    <w:nsid w:val="70A3642E"/>
    <w:multiLevelType w:val="multilevel"/>
    <w:tmpl w:val="70A3642E"/>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6"/>
  </w:num>
  <w:num w:numId="2">
    <w:abstractNumId w:val="7"/>
  </w:num>
  <w:num w:numId="3">
    <w:abstractNumId w:val="5"/>
  </w:num>
  <w:num w:numId="4">
    <w:abstractNumId w:val="3"/>
  </w:num>
  <w:num w:numId="5">
    <w:abstractNumId w:val="0"/>
  </w:num>
  <w:num w:numId="6">
    <w:abstractNumId w:val="8"/>
  </w:num>
  <w:num w:numId="7">
    <w:abstractNumId w:val="1"/>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1D056FD"/>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E650D1D"/>
    <w:rsid w:val="3E9002A8"/>
    <w:rsid w:val="3F552A03"/>
    <w:rsid w:val="40A31F26"/>
    <w:rsid w:val="420B38E3"/>
    <w:rsid w:val="42E570EA"/>
    <w:rsid w:val="43523C38"/>
    <w:rsid w:val="43B51B88"/>
    <w:rsid w:val="44AA028A"/>
    <w:rsid w:val="45376F42"/>
    <w:rsid w:val="4603606C"/>
    <w:rsid w:val="46236E29"/>
    <w:rsid w:val="46277C5E"/>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36A8F"/>
    <w:rsid w:val="56153F97"/>
    <w:rsid w:val="56866800"/>
    <w:rsid w:val="571E5CB6"/>
    <w:rsid w:val="576C6B11"/>
    <w:rsid w:val="57863DB7"/>
    <w:rsid w:val="58156ACB"/>
    <w:rsid w:val="58677144"/>
    <w:rsid w:val="59137211"/>
    <w:rsid w:val="5A17370E"/>
    <w:rsid w:val="5A7C4904"/>
    <w:rsid w:val="5A7F4E12"/>
    <w:rsid w:val="5AA050D8"/>
    <w:rsid w:val="5C344BB6"/>
    <w:rsid w:val="5DFF20EB"/>
    <w:rsid w:val="5E1C5429"/>
    <w:rsid w:val="5E233CDF"/>
    <w:rsid w:val="5E744882"/>
    <w:rsid w:val="5ED418C8"/>
    <w:rsid w:val="5EE36D23"/>
    <w:rsid w:val="5EF71E76"/>
    <w:rsid w:val="5F0C0F9F"/>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71423D"/>
    <w:rsid w:val="70CD0FAF"/>
    <w:rsid w:val="710F0089"/>
    <w:rsid w:val="719B7B32"/>
    <w:rsid w:val="71DA20A9"/>
    <w:rsid w:val="72D20C3B"/>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3">
    <w:name w:val="heading 1"/>
    <w:basedOn w:val="1"/>
    <w:next w:val="1"/>
    <w:autoRedefine/>
    <w:qFormat/>
    <w:uiPriority w:val="7"/>
    <w:pPr>
      <w:spacing w:before="340" w:after="330" w:line="578" w:lineRule="auto"/>
      <w:outlineLvl w:val="0"/>
    </w:pPr>
    <w:rPr>
      <w:b/>
      <w:sz w:val="44"/>
      <w:szCs w:val="44"/>
    </w:rPr>
  </w:style>
  <w:style w:type="paragraph" w:styleId="4">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5">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8">
    <w:name w:val="Default Paragraph Font"/>
    <w:autoRedefine/>
    <w:semiHidden/>
    <w:qFormat/>
    <w:uiPriority w:val="2"/>
  </w:style>
  <w:style w:type="table" w:default="1" w:styleId="16">
    <w:name w:val="Normal Table"/>
    <w:semiHidden/>
    <w:qFormat/>
    <w:uiPriority w:val="3"/>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6">
    <w:name w:val="Normal Indent"/>
    <w:basedOn w:val="1"/>
    <w:qFormat/>
    <w:uiPriority w:val="0"/>
    <w:pPr>
      <w:autoSpaceDE w:val="0"/>
      <w:autoSpaceDN w:val="0"/>
      <w:adjustRightInd w:val="0"/>
      <w:ind w:firstLine="420"/>
      <w:jc w:val="left"/>
    </w:pPr>
    <w:rPr>
      <w:rFonts w:ascii="宋体"/>
      <w:kern w:val="0"/>
      <w:sz w:val="24"/>
      <w:szCs w:val="20"/>
    </w:rPr>
  </w:style>
  <w:style w:type="paragraph" w:styleId="7">
    <w:name w:val="annotation text"/>
    <w:basedOn w:val="1"/>
    <w:semiHidden/>
    <w:unhideWhenUsed/>
    <w:qFormat/>
    <w:uiPriority w:val="99"/>
    <w:pPr>
      <w:jc w:val="left"/>
    </w:pPr>
  </w:style>
  <w:style w:type="paragraph" w:styleId="8">
    <w:name w:val="Body Text"/>
    <w:basedOn w:val="1"/>
    <w:next w:val="9"/>
    <w:qFormat/>
    <w:uiPriority w:val="1"/>
    <w:rPr>
      <w:rFonts w:ascii="微软雅黑" w:hAnsi="微软雅黑" w:eastAsia="微软雅黑" w:cs="微软雅黑"/>
      <w:sz w:val="15"/>
      <w:szCs w:val="15"/>
      <w:lang w:val="zh-CN" w:bidi="zh-CN"/>
    </w:rPr>
  </w:style>
  <w:style w:type="paragraph" w:styleId="9">
    <w:name w:val="toc 2"/>
    <w:basedOn w:val="1"/>
    <w:next w:val="1"/>
    <w:qFormat/>
    <w:uiPriority w:val="39"/>
    <w:pPr>
      <w:ind w:left="210"/>
      <w:jc w:val="left"/>
    </w:pPr>
    <w:rPr>
      <w:rFonts w:ascii="Calibri" w:hAnsi="Calibri"/>
      <w:smallCaps/>
      <w:sz w:val="20"/>
    </w:rPr>
  </w:style>
  <w:style w:type="paragraph" w:styleId="10">
    <w:name w:val="Plain Text"/>
    <w:basedOn w:val="1"/>
    <w:qFormat/>
    <w:uiPriority w:val="0"/>
    <w:rPr>
      <w:rFonts w:ascii="宋体" w:hAnsi="Courier New"/>
    </w:rPr>
  </w:style>
  <w:style w:type="paragraph" w:styleId="11">
    <w:name w:val="footer"/>
    <w:basedOn w:val="1"/>
    <w:qFormat/>
    <w:uiPriority w:val="151"/>
    <w:pPr>
      <w:tabs>
        <w:tab w:val="center" w:pos="4153"/>
        <w:tab w:val="right" w:pos="8306"/>
      </w:tabs>
      <w:snapToGrid w:val="0"/>
      <w:jc w:val="left"/>
    </w:pPr>
    <w:rPr>
      <w:sz w:val="18"/>
      <w:szCs w:val="18"/>
    </w:rPr>
  </w:style>
  <w:style w:type="paragraph" w:styleId="12">
    <w:name w:val="header"/>
    <w:basedOn w:val="1"/>
    <w:next w:val="8"/>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3">
    <w:name w:val="Body Text 2"/>
    <w:basedOn w:val="1"/>
    <w:unhideWhenUsed/>
    <w:qFormat/>
    <w:uiPriority w:val="99"/>
    <w:pPr>
      <w:spacing w:line="480" w:lineRule="auto"/>
    </w:pPr>
  </w:style>
  <w:style w:type="paragraph" w:styleId="1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5">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7">
    <w:name w:val="Table Grid"/>
    <w:basedOn w:val="16"/>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Normal_6"/>
    <w:next w:val="10"/>
    <w:qFormat/>
    <w:uiPriority w:val="0"/>
    <w:pPr>
      <w:widowControl w:val="0"/>
      <w:jc w:val="both"/>
    </w:pPr>
    <w:rPr>
      <w:rFonts w:ascii="Times New Roman" w:hAnsi="Times New Roman" w:eastAsia="宋体" w:cs="Times New Roman"/>
      <w:kern w:val="2"/>
      <w:sz w:val="21"/>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8"/>
    <w:autoRedefine/>
    <w:qFormat/>
    <w:uiPriority w:val="0"/>
    <w:rPr>
      <w:rFonts w:hint="eastAsia" w:ascii="宋体" w:hAnsi="宋体" w:eastAsia="宋体" w:cs="宋体"/>
      <w:color w:val="000000"/>
      <w:sz w:val="24"/>
      <w:szCs w:val="24"/>
      <w:u w:val="none"/>
    </w:rPr>
  </w:style>
  <w:style w:type="character" w:customStyle="1" w:styleId="23">
    <w:name w:val="font31"/>
    <w:basedOn w:val="18"/>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8"/>
    <w:autoRedefine/>
    <w:qFormat/>
    <w:uiPriority w:val="0"/>
    <w:rPr>
      <w:rFonts w:ascii="Calibri" w:hAnsi="Calibri" w:cs="Calibri"/>
      <w:color w:val="000000"/>
      <w:sz w:val="28"/>
      <w:szCs w:val="28"/>
      <w:u w:val="none"/>
    </w:rPr>
  </w:style>
  <w:style w:type="character" w:customStyle="1" w:styleId="26">
    <w:name w:val="font21"/>
    <w:basedOn w:val="18"/>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paragraph" w:customStyle="1" w:styleId="29">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30">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31">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32">
    <w:name w:val="列表段落2"/>
    <w:basedOn w:val="1"/>
    <w:qFormat/>
    <w:uiPriority w:val="0"/>
    <w:pPr>
      <w:ind w:firstLine="420" w:firstLineChars="200"/>
    </w:pPr>
    <w:rPr>
      <w:rFonts w:ascii="Calibri" w:hAnsi="Calibri" w:eastAsia="宋体" w:cs="Times New Roman"/>
    </w:rPr>
  </w:style>
  <w:style w:type="paragraph" w:customStyle="1" w:styleId="33">
    <w:name w:val="Table Text"/>
    <w:basedOn w:val="1"/>
    <w:semiHidden/>
    <w:qFormat/>
    <w:uiPriority w:val="0"/>
    <w:pPr>
      <w:widowControl/>
      <w:kinsoku w:val="0"/>
      <w:autoSpaceDE w:val="0"/>
      <w:autoSpaceDN w:val="0"/>
      <w:adjustRightInd w:val="0"/>
      <w:snapToGrid w:val="0"/>
      <w:spacing w:after="160"/>
      <w:jc w:val="left"/>
      <w:textAlignment w:val="baseline"/>
    </w:pPr>
    <w:rPr>
      <w:rFonts w:ascii="宋体" w:hAnsi="宋体" w:cs="宋体"/>
      <w:snapToGrid w:val="0"/>
      <w:color w:val="000000"/>
      <w:kern w:val="0"/>
      <w:sz w:val="24"/>
      <w:lang w:eastAsia="en-US"/>
    </w:rPr>
  </w:style>
  <w:style w:type="paragraph" w:customStyle="1" w:styleId="34">
    <w:name w:val="正文_4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5">
    <w:name w:val="15_1"/>
    <w:basedOn w:val="18"/>
    <w:qFormat/>
    <w:uiPriority w:val="0"/>
    <w:rPr>
      <w:rFonts w:hint="default" w:ascii="Times New Roman" w:hAnsi="Times New Roman" w:eastAsia="Times New Roman" w:cs="Times New Roman"/>
    </w:rPr>
  </w:style>
  <w:style w:type="paragraph" w:customStyle="1" w:styleId="36">
    <w:name w:val="Normal"/>
    <w:qFormat/>
    <w:uiPriority w:val="0"/>
    <w:pPr>
      <w:widowControl w:val="0"/>
      <w:adjustRightInd w:val="0"/>
      <w:spacing w:line="315" w:lineRule="atLeast"/>
      <w:jc w:val="both"/>
      <w:textAlignment w:val="baseline"/>
    </w:pPr>
    <w:rPr>
      <w:rFonts w:ascii="宋体" w:hAnsi="Calibri" w:eastAsia="宋体" w:cs="Times New Roman"/>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28</Pages>
  <Words>41</Words>
  <Characters>46</Characters>
  <Lines>0</Lines>
  <Paragraphs>0</Paragraphs>
  <TotalTime>1</TotalTime>
  <ScaleCrop>false</ScaleCrop>
  <LinksUpToDate>false</LinksUpToDate>
  <CharactersWithSpaces>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2026-10-22T08:37:06Z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7C39EF952D6D4A40ADF1C4E46CD686F8_13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