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63B651">
      <w:pPr>
        <w:numPr>
          <w:ilvl w:val="0"/>
          <w:numId w:val="0"/>
        </w:numPr>
        <w:jc w:val="center"/>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鄂尔多斯市中心医院</w:t>
      </w:r>
    </w:p>
    <w:p w14:paraId="4460EAC3">
      <w:pPr>
        <w:numPr>
          <w:ilvl w:val="0"/>
          <w:numId w:val="0"/>
        </w:numPr>
        <w:jc w:val="center"/>
        <w:rPr>
          <w:rFonts w:hint="eastAsia" w:ascii="宋体" w:hAnsi="宋体" w:eastAsia="宋体" w:cs="宋体"/>
          <w:b/>
          <w:bCs/>
          <w:sz w:val="44"/>
          <w:szCs w:val="44"/>
          <w:lang w:val="en-US" w:eastAsia="zh-CN"/>
        </w:rPr>
      </w:pPr>
    </w:p>
    <w:p w14:paraId="7855E913">
      <w:pPr>
        <w:numPr>
          <w:ilvl w:val="0"/>
          <w:numId w:val="0"/>
        </w:numPr>
        <w:jc w:val="center"/>
        <w:rPr>
          <w:rFonts w:hint="eastAsia" w:ascii="宋体" w:hAnsi="宋体" w:eastAsia="宋体" w:cs="宋体"/>
          <w:b/>
          <w:bCs/>
          <w:sz w:val="44"/>
          <w:szCs w:val="44"/>
          <w:lang w:val="en-US" w:eastAsia="zh-CN"/>
        </w:rPr>
      </w:pPr>
    </w:p>
    <w:p w14:paraId="24BCF1D6">
      <w:pPr>
        <w:numPr>
          <w:ilvl w:val="0"/>
          <w:numId w:val="0"/>
        </w:numPr>
        <w:ind w:firstLine="2650" w:firstLineChars="600"/>
        <w:jc w:val="both"/>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院内招采文件</w:t>
      </w:r>
    </w:p>
    <w:p w14:paraId="1A2146B2">
      <w:pPr>
        <w:numPr>
          <w:ilvl w:val="0"/>
          <w:numId w:val="0"/>
        </w:numPr>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drawing>
          <wp:inline distT="0" distB="0" distL="114300" distR="114300">
            <wp:extent cx="2570480" cy="2570480"/>
            <wp:effectExtent l="0" t="0" r="0" b="0"/>
            <wp:docPr id="2" name="图片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LOGO"/>
                    <pic:cNvPicPr>
                      <a:picLocks noChangeAspect="1"/>
                    </pic:cNvPicPr>
                  </pic:nvPicPr>
                  <pic:blipFill>
                    <a:blip r:embed="rId4"/>
                    <a:stretch>
                      <a:fillRect/>
                    </a:stretch>
                  </pic:blipFill>
                  <pic:spPr>
                    <a:xfrm>
                      <a:off x="0" y="0"/>
                      <a:ext cx="2570480" cy="2570480"/>
                    </a:xfrm>
                    <a:prstGeom prst="rect">
                      <a:avLst/>
                    </a:prstGeom>
                  </pic:spPr>
                </pic:pic>
              </a:graphicData>
            </a:graphic>
          </wp:inline>
        </w:drawing>
      </w:r>
    </w:p>
    <w:p w14:paraId="0909C157">
      <w:pPr>
        <w:numPr>
          <w:ilvl w:val="0"/>
          <w:numId w:val="0"/>
        </w:numPr>
        <w:rPr>
          <w:rFonts w:hint="eastAsia" w:ascii="宋体" w:hAnsi="宋体" w:eastAsia="宋体" w:cs="宋体"/>
          <w:b/>
          <w:bCs/>
          <w:lang w:val="en-US" w:eastAsia="zh-CN"/>
        </w:rPr>
      </w:pPr>
      <w:r>
        <w:rPr>
          <w:rFonts w:hint="eastAsia" w:ascii="宋体" w:hAnsi="宋体" w:eastAsia="宋体" w:cs="宋体"/>
          <w:b/>
          <w:bCs/>
          <w:lang w:val="en-US" w:eastAsia="zh-CN"/>
        </w:rPr>
        <w:t xml:space="preserve">                          </w:t>
      </w:r>
    </w:p>
    <w:p w14:paraId="4765CAF4">
      <w:pPr>
        <w:numPr>
          <w:ilvl w:val="0"/>
          <w:numId w:val="0"/>
        </w:numPr>
        <w:rPr>
          <w:rFonts w:hint="eastAsia" w:ascii="宋体" w:hAnsi="宋体" w:eastAsia="宋体" w:cs="宋体"/>
          <w:b/>
          <w:bCs/>
          <w:lang w:val="en-US" w:eastAsia="zh-CN"/>
        </w:rPr>
      </w:pPr>
    </w:p>
    <w:p w14:paraId="1EA16BF7">
      <w:pPr>
        <w:numPr>
          <w:ilvl w:val="0"/>
          <w:numId w:val="0"/>
        </w:numPr>
        <w:rPr>
          <w:rFonts w:hint="eastAsia" w:ascii="宋体" w:hAnsi="宋体" w:eastAsia="宋体" w:cs="宋体"/>
          <w:b/>
          <w:bCs/>
          <w:lang w:val="en-US" w:eastAsia="zh-CN"/>
        </w:rPr>
      </w:pPr>
    </w:p>
    <w:p w14:paraId="594118B3">
      <w:pPr>
        <w:numPr>
          <w:ilvl w:val="0"/>
          <w:numId w:val="0"/>
        </w:numPr>
        <w:rPr>
          <w:rFonts w:hint="eastAsia" w:ascii="宋体" w:hAnsi="宋体" w:eastAsia="宋体" w:cs="宋体"/>
          <w:b/>
          <w:bCs/>
          <w:lang w:val="en-US" w:eastAsia="zh-CN"/>
        </w:rPr>
      </w:pPr>
    </w:p>
    <w:p w14:paraId="15ACEF2E">
      <w:pPr>
        <w:numPr>
          <w:ilvl w:val="0"/>
          <w:numId w:val="0"/>
        </w:numPr>
        <w:rPr>
          <w:rFonts w:hint="eastAsia" w:ascii="宋体" w:hAnsi="宋体" w:eastAsia="宋体" w:cs="宋体"/>
          <w:b/>
          <w:bCs/>
          <w:lang w:val="en-US" w:eastAsia="zh-CN"/>
        </w:rPr>
      </w:pPr>
    </w:p>
    <w:p w14:paraId="3A088841">
      <w:pPr>
        <w:numPr>
          <w:ilvl w:val="0"/>
          <w:numId w:val="0"/>
        </w:numPr>
        <w:rPr>
          <w:rFonts w:hint="eastAsia" w:ascii="宋体" w:hAnsi="宋体" w:eastAsia="宋体" w:cs="宋体"/>
          <w:b/>
          <w:bCs/>
          <w:lang w:val="en-US" w:eastAsia="zh-CN"/>
        </w:rPr>
      </w:pPr>
    </w:p>
    <w:p w14:paraId="7725592C">
      <w:pPr>
        <w:numPr>
          <w:ilvl w:val="0"/>
          <w:numId w:val="0"/>
        </w:numPr>
        <w:rPr>
          <w:rFonts w:hint="eastAsia" w:ascii="宋体" w:hAnsi="宋体" w:eastAsia="宋体" w:cs="宋体"/>
          <w:b/>
          <w:bCs/>
          <w:lang w:val="en-US" w:eastAsia="zh-CN"/>
        </w:rPr>
      </w:pPr>
    </w:p>
    <w:p w14:paraId="40D4F4C5">
      <w:pPr>
        <w:numPr>
          <w:ilvl w:val="0"/>
          <w:numId w:val="0"/>
        </w:numPr>
        <w:rPr>
          <w:rFonts w:hint="eastAsia" w:ascii="宋体" w:hAnsi="宋体" w:eastAsia="宋体" w:cs="宋体"/>
          <w:b/>
          <w:bCs/>
          <w:lang w:val="en-US" w:eastAsia="zh-CN"/>
        </w:rPr>
      </w:pPr>
    </w:p>
    <w:p w14:paraId="1B580E17">
      <w:pPr>
        <w:numPr>
          <w:ilvl w:val="0"/>
          <w:numId w:val="0"/>
        </w:numPr>
        <w:rPr>
          <w:rFonts w:hint="eastAsia" w:ascii="宋体" w:hAnsi="宋体" w:eastAsia="宋体" w:cs="宋体"/>
          <w:b/>
          <w:bCs/>
          <w:lang w:val="en-US" w:eastAsia="zh-CN"/>
        </w:rPr>
      </w:pPr>
    </w:p>
    <w:p w14:paraId="1BE252D5">
      <w:pPr>
        <w:numPr>
          <w:ilvl w:val="0"/>
          <w:numId w:val="0"/>
        </w:numPr>
        <w:jc w:val="center"/>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院内飞线改造服务项目</w:t>
      </w:r>
    </w:p>
    <w:p w14:paraId="13F46CBC">
      <w:pPr>
        <w:numPr>
          <w:ilvl w:val="0"/>
          <w:numId w:val="0"/>
        </w:numPr>
        <w:jc w:val="center"/>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2026年11月5日</w:t>
      </w:r>
    </w:p>
    <w:p w14:paraId="3DED3793">
      <w:pPr>
        <w:numPr>
          <w:ilvl w:val="0"/>
          <w:numId w:val="0"/>
        </w:num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  </w:t>
      </w:r>
    </w:p>
    <w:p w14:paraId="7C4971ED">
      <w:pPr>
        <w:numPr>
          <w:ilvl w:val="0"/>
          <w:numId w:val="0"/>
        </w:numPr>
        <w:spacing w:line="360" w:lineRule="auto"/>
        <w:jc w:val="left"/>
        <w:rPr>
          <w:rFonts w:hint="eastAsia" w:hAnsi="宋体"/>
          <w:sz w:val="24"/>
          <w:szCs w:val="24"/>
          <w:lang w:val="en-US" w:eastAsia="zh-CN"/>
        </w:rPr>
      </w:pPr>
    </w:p>
    <w:p w14:paraId="7F07E20D">
      <w:pPr>
        <w:numPr>
          <w:ilvl w:val="0"/>
          <w:numId w:val="0"/>
        </w:numPr>
        <w:spacing w:line="360" w:lineRule="auto"/>
        <w:jc w:val="left"/>
        <w:rPr>
          <w:rFonts w:hint="eastAsia" w:hAnsi="宋体"/>
          <w:sz w:val="24"/>
          <w:szCs w:val="24"/>
          <w:lang w:val="en-US" w:eastAsia="zh-CN"/>
        </w:rPr>
      </w:pPr>
    </w:p>
    <w:p w14:paraId="1D33FED8">
      <w:pPr>
        <w:numPr>
          <w:ilvl w:val="0"/>
          <w:numId w:val="0"/>
        </w:numPr>
        <w:spacing w:line="360" w:lineRule="auto"/>
        <w:jc w:val="left"/>
        <w:rPr>
          <w:rFonts w:hint="eastAsia" w:hAnsi="宋体"/>
          <w:sz w:val="24"/>
          <w:szCs w:val="24"/>
          <w:lang w:val="en-US" w:eastAsia="zh-CN"/>
        </w:rPr>
      </w:pPr>
    </w:p>
    <w:p w14:paraId="0B0E5296">
      <w:pPr>
        <w:numPr>
          <w:ilvl w:val="0"/>
          <w:numId w:val="0"/>
        </w:numPr>
        <w:spacing w:line="360" w:lineRule="auto"/>
        <w:jc w:val="left"/>
        <w:rPr>
          <w:rFonts w:hint="eastAsia" w:hAnsi="宋体"/>
          <w:sz w:val="24"/>
          <w:szCs w:val="24"/>
          <w:lang w:val="en-US" w:eastAsia="zh-CN"/>
        </w:rPr>
      </w:pPr>
    </w:p>
    <w:p w14:paraId="1680CABB">
      <w:pPr>
        <w:numPr>
          <w:ilvl w:val="0"/>
          <w:numId w:val="0"/>
        </w:numPr>
        <w:spacing w:line="360" w:lineRule="auto"/>
        <w:jc w:val="left"/>
        <w:rPr>
          <w:rFonts w:hint="eastAsia" w:hAnsi="宋体"/>
          <w:sz w:val="24"/>
          <w:szCs w:val="24"/>
          <w:lang w:val="en-US" w:eastAsia="zh-CN"/>
        </w:rPr>
      </w:pPr>
    </w:p>
    <w:p w14:paraId="45BBB40C">
      <w:pPr>
        <w:keepNext w:val="0"/>
        <w:keepLines w:val="0"/>
        <w:pageBreakBefore w:val="0"/>
        <w:widowControl w:val="0"/>
        <w:numPr>
          <w:ilvl w:val="0"/>
          <w:numId w:val="1"/>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项目信息</w:t>
      </w:r>
    </w:p>
    <w:p w14:paraId="59BC419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bCs/>
          <w:sz w:val="32"/>
          <w:szCs w:val="32"/>
          <w:lang w:val="en-US" w:eastAsia="zh-CN"/>
        </w:rPr>
      </w:pPr>
    </w:p>
    <w:p w14:paraId="1D1B034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一、商务条款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8"/>
          <w:szCs w:val="28"/>
          <w:lang w:val="en-US" w:eastAsia="zh-CN"/>
        </w:rPr>
        <w:t xml:space="preserve"> 货币单位：元</w:t>
      </w:r>
    </w:p>
    <w:tbl>
      <w:tblPr>
        <w:tblStyle w:val="13"/>
        <w:tblW w:w="100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91"/>
        <w:gridCol w:w="4006"/>
        <w:gridCol w:w="910"/>
        <w:gridCol w:w="1155"/>
        <w:gridCol w:w="1545"/>
        <w:gridCol w:w="1380"/>
      </w:tblGrid>
      <w:tr w14:paraId="12CE5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8" w:hRule="atLeast"/>
          <w:jc w:val="center"/>
        </w:trPr>
        <w:tc>
          <w:tcPr>
            <w:tcW w:w="1091" w:type="dxa"/>
            <w:vAlign w:val="center"/>
          </w:tcPr>
          <w:p w14:paraId="4662F8F8">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序号</w:t>
            </w:r>
          </w:p>
        </w:tc>
        <w:tc>
          <w:tcPr>
            <w:tcW w:w="4006" w:type="dxa"/>
            <w:vAlign w:val="center"/>
          </w:tcPr>
          <w:p w14:paraId="3B4C2E75">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名称</w:t>
            </w:r>
          </w:p>
        </w:tc>
        <w:tc>
          <w:tcPr>
            <w:tcW w:w="910" w:type="dxa"/>
            <w:vAlign w:val="center"/>
          </w:tcPr>
          <w:p w14:paraId="72F163FC">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单位</w:t>
            </w:r>
          </w:p>
        </w:tc>
        <w:tc>
          <w:tcPr>
            <w:tcW w:w="1155" w:type="dxa"/>
            <w:vAlign w:val="center"/>
          </w:tcPr>
          <w:p w14:paraId="22E1D977">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数量</w:t>
            </w:r>
          </w:p>
        </w:tc>
        <w:tc>
          <w:tcPr>
            <w:tcW w:w="1545" w:type="dxa"/>
            <w:vAlign w:val="center"/>
          </w:tcPr>
          <w:p w14:paraId="43D6BD42">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预算单价</w:t>
            </w:r>
          </w:p>
        </w:tc>
        <w:tc>
          <w:tcPr>
            <w:tcW w:w="1380" w:type="dxa"/>
            <w:vAlign w:val="center"/>
          </w:tcPr>
          <w:p w14:paraId="31BF7F1E">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预算总价</w:t>
            </w:r>
          </w:p>
        </w:tc>
      </w:tr>
      <w:tr w14:paraId="6C832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1091" w:type="dxa"/>
            <w:vMerge w:val="restart"/>
            <w:vAlign w:val="center"/>
          </w:tcPr>
          <w:p w14:paraId="00CB4B48">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w:t>
            </w:r>
          </w:p>
        </w:tc>
        <w:tc>
          <w:tcPr>
            <w:tcW w:w="4006" w:type="dxa"/>
            <w:vAlign w:val="center"/>
          </w:tcPr>
          <w:p w14:paraId="44CCDF0D">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院内飞线改造服务项目</w:t>
            </w:r>
          </w:p>
        </w:tc>
        <w:tc>
          <w:tcPr>
            <w:tcW w:w="910" w:type="dxa"/>
            <w:vAlign w:val="center"/>
          </w:tcPr>
          <w:p w14:paraId="7DAA7B0A">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项</w:t>
            </w:r>
          </w:p>
        </w:tc>
        <w:tc>
          <w:tcPr>
            <w:tcW w:w="1155" w:type="dxa"/>
            <w:vAlign w:val="center"/>
          </w:tcPr>
          <w:p w14:paraId="1967A558">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w:t>
            </w:r>
          </w:p>
        </w:tc>
        <w:tc>
          <w:tcPr>
            <w:tcW w:w="1545" w:type="dxa"/>
            <w:vAlign w:val="center"/>
          </w:tcPr>
          <w:p w14:paraId="413BDA12">
            <w:pPr>
              <w:widowControl/>
              <w:ind w:firstLine="280" w:firstLineChars="100"/>
              <w:jc w:val="both"/>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775000</w:t>
            </w:r>
          </w:p>
        </w:tc>
        <w:tc>
          <w:tcPr>
            <w:tcW w:w="1380" w:type="dxa"/>
            <w:vAlign w:val="center"/>
          </w:tcPr>
          <w:p w14:paraId="0712C338">
            <w:pPr>
              <w:widowControl/>
              <w:ind w:firstLine="280" w:firstLineChars="100"/>
              <w:jc w:val="both"/>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775000</w:t>
            </w:r>
          </w:p>
        </w:tc>
      </w:tr>
      <w:tr w14:paraId="330D3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1091" w:type="dxa"/>
            <w:vMerge w:val="continue"/>
            <w:tcBorders/>
            <w:vAlign w:val="center"/>
          </w:tcPr>
          <w:p w14:paraId="5B0F2592">
            <w:pPr>
              <w:widowControl/>
              <w:jc w:val="center"/>
              <w:textAlignment w:val="center"/>
              <w:rPr>
                <w:rFonts w:hint="eastAsia" w:ascii="宋体" w:hAnsi="宋体" w:eastAsia="宋体" w:cs="宋体"/>
                <w:kern w:val="0"/>
                <w:sz w:val="28"/>
                <w:szCs w:val="28"/>
                <w:lang w:val="en-US" w:eastAsia="zh-CN"/>
              </w:rPr>
            </w:pPr>
          </w:p>
        </w:tc>
        <w:tc>
          <w:tcPr>
            <w:tcW w:w="6071" w:type="dxa"/>
            <w:gridSpan w:val="3"/>
            <w:vAlign w:val="center"/>
          </w:tcPr>
          <w:p w14:paraId="058D0155">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总价合计</w:t>
            </w:r>
          </w:p>
        </w:tc>
        <w:tc>
          <w:tcPr>
            <w:tcW w:w="2925" w:type="dxa"/>
            <w:gridSpan w:val="2"/>
            <w:vAlign w:val="center"/>
          </w:tcPr>
          <w:p w14:paraId="3589BA49">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775000</w:t>
            </w:r>
          </w:p>
        </w:tc>
      </w:tr>
      <w:tr w14:paraId="41856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1091" w:type="dxa"/>
            <w:vAlign w:val="center"/>
          </w:tcPr>
          <w:p w14:paraId="73AC5716">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2</w:t>
            </w:r>
          </w:p>
        </w:tc>
        <w:tc>
          <w:tcPr>
            <w:tcW w:w="4006" w:type="dxa"/>
            <w:vAlign w:val="center"/>
          </w:tcPr>
          <w:p w14:paraId="3F1EC5E6">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交付使用时间</w:t>
            </w:r>
          </w:p>
        </w:tc>
        <w:tc>
          <w:tcPr>
            <w:tcW w:w="4990" w:type="dxa"/>
            <w:gridSpan w:val="4"/>
            <w:vAlign w:val="center"/>
          </w:tcPr>
          <w:p w14:paraId="7F431A67">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color w:val="auto"/>
                <w:kern w:val="0"/>
                <w:sz w:val="28"/>
                <w:szCs w:val="28"/>
                <w:lang w:val="en-US" w:eastAsia="zh-CN"/>
              </w:rPr>
              <w:t>合同签订后2个月</w:t>
            </w:r>
          </w:p>
        </w:tc>
      </w:tr>
      <w:tr w14:paraId="4CC2ED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1091" w:type="dxa"/>
            <w:vAlign w:val="center"/>
          </w:tcPr>
          <w:p w14:paraId="6F2446C2">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3</w:t>
            </w:r>
          </w:p>
        </w:tc>
        <w:tc>
          <w:tcPr>
            <w:tcW w:w="4006" w:type="dxa"/>
            <w:vAlign w:val="center"/>
          </w:tcPr>
          <w:p w14:paraId="38F82245">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质保期</w:t>
            </w:r>
          </w:p>
        </w:tc>
        <w:tc>
          <w:tcPr>
            <w:tcW w:w="4990" w:type="dxa"/>
            <w:gridSpan w:val="4"/>
            <w:vAlign w:val="center"/>
          </w:tcPr>
          <w:p w14:paraId="4B937BF0">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三年（自验收合格之日起算）</w:t>
            </w:r>
          </w:p>
        </w:tc>
      </w:tr>
      <w:tr w14:paraId="0CCC8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1091" w:type="dxa"/>
            <w:vAlign w:val="center"/>
          </w:tcPr>
          <w:p w14:paraId="35EA4DE1">
            <w:pPr>
              <w:widowControl/>
              <w:jc w:val="center"/>
              <w:textAlignment w:val="center"/>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4</w:t>
            </w:r>
          </w:p>
        </w:tc>
        <w:tc>
          <w:tcPr>
            <w:tcW w:w="4006" w:type="dxa"/>
            <w:vAlign w:val="center"/>
          </w:tcPr>
          <w:p w14:paraId="7DA5848C">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合同期</w:t>
            </w:r>
          </w:p>
        </w:tc>
        <w:tc>
          <w:tcPr>
            <w:tcW w:w="4990" w:type="dxa"/>
            <w:gridSpan w:val="4"/>
            <w:vAlign w:val="center"/>
          </w:tcPr>
          <w:p w14:paraId="7A9454C0">
            <w:pPr>
              <w:widowControl/>
              <w:jc w:val="center"/>
              <w:textAlignment w:val="center"/>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一年</w:t>
            </w:r>
          </w:p>
        </w:tc>
      </w:tr>
      <w:tr w14:paraId="37B2F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8" w:hRule="atLeast"/>
          <w:jc w:val="center"/>
        </w:trPr>
        <w:tc>
          <w:tcPr>
            <w:tcW w:w="1091" w:type="dxa"/>
            <w:vAlign w:val="center"/>
          </w:tcPr>
          <w:p w14:paraId="4F144530">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5</w:t>
            </w:r>
          </w:p>
        </w:tc>
        <w:tc>
          <w:tcPr>
            <w:tcW w:w="4006" w:type="dxa"/>
            <w:vAlign w:val="center"/>
          </w:tcPr>
          <w:p w14:paraId="68AD1D53">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付款方式</w:t>
            </w:r>
          </w:p>
        </w:tc>
        <w:tc>
          <w:tcPr>
            <w:tcW w:w="4990" w:type="dxa"/>
            <w:gridSpan w:val="4"/>
            <w:vAlign w:val="center"/>
          </w:tcPr>
          <w:p w14:paraId="5E0E9349">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项目验收合格后支付90%，质保期届满后支付10%</w:t>
            </w:r>
          </w:p>
        </w:tc>
      </w:tr>
      <w:tr w14:paraId="7CB1C1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8" w:hRule="atLeast"/>
          <w:jc w:val="center"/>
        </w:trPr>
        <w:tc>
          <w:tcPr>
            <w:tcW w:w="1091" w:type="dxa"/>
            <w:vAlign w:val="center"/>
          </w:tcPr>
          <w:p w14:paraId="4B786AA0">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6</w:t>
            </w:r>
          </w:p>
        </w:tc>
        <w:tc>
          <w:tcPr>
            <w:tcW w:w="4006" w:type="dxa"/>
            <w:vAlign w:val="center"/>
          </w:tcPr>
          <w:p w14:paraId="02774FA0">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交付地点</w:t>
            </w:r>
          </w:p>
        </w:tc>
        <w:tc>
          <w:tcPr>
            <w:tcW w:w="4990" w:type="dxa"/>
            <w:gridSpan w:val="4"/>
            <w:vAlign w:val="center"/>
          </w:tcPr>
          <w:p w14:paraId="6AA66370">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鄂尔多斯市中心医院</w:t>
            </w:r>
            <w:bookmarkStart w:id="1" w:name="_GoBack"/>
            <w:bookmarkEnd w:id="1"/>
          </w:p>
        </w:tc>
      </w:tr>
      <w:tr w14:paraId="642D10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8" w:hRule="atLeast"/>
          <w:jc w:val="center"/>
        </w:trPr>
        <w:tc>
          <w:tcPr>
            <w:tcW w:w="1091" w:type="dxa"/>
            <w:vAlign w:val="center"/>
          </w:tcPr>
          <w:p w14:paraId="3079CCDB">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7</w:t>
            </w:r>
          </w:p>
        </w:tc>
        <w:tc>
          <w:tcPr>
            <w:tcW w:w="4006" w:type="dxa"/>
            <w:vAlign w:val="center"/>
          </w:tcPr>
          <w:p w14:paraId="7DDBBC82">
            <w:pPr>
              <w:widowControl/>
              <w:jc w:val="center"/>
              <w:textAlignment w:val="center"/>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入场时间</w:t>
            </w:r>
          </w:p>
        </w:tc>
        <w:tc>
          <w:tcPr>
            <w:tcW w:w="4990" w:type="dxa"/>
            <w:gridSpan w:val="4"/>
            <w:vAlign w:val="center"/>
          </w:tcPr>
          <w:p w14:paraId="7F24CA3B">
            <w:pPr>
              <w:widowControl/>
              <w:jc w:val="center"/>
              <w:textAlignment w:val="center"/>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合同签订后一周</w:t>
            </w:r>
          </w:p>
        </w:tc>
      </w:tr>
    </w:tbl>
    <w:p w14:paraId="6E4C0A80">
      <w:pPr>
        <w:rPr>
          <w:rFonts w:hint="eastAsia" w:hAnsi="宋体"/>
          <w:sz w:val="24"/>
          <w:szCs w:val="24"/>
          <w:lang w:val="en-US" w:eastAsia="zh-CN"/>
        </w:rPr>
      </w:pPr>
      <w:r>
        <w:rPr>
          <w:rFonts w:hint="eastAsia" w:hAnsi="宋体"/>
          <w:sz w:val="24"/>
          <w:szCs w:val="24"/>
          <w:lang w:val="en-US" w:eastAsia="zh-CN"/>
        </w:rPr>
        <w:t xml:space="preserve">  </w:t>
      </w:r>
    </w:p>
    <w:p w14:paraId="4C773A18">
      <w:pPr>
        <w:rPr>
          <w:rFonts w:hint="eastAsia" w:hAnsi="宋体"/>
          <w:sz w:val="24"/>
          <w:szCs w:val="24"/>
          <w:lang w:val="en-US" w:eastAsia="zh-CN"/>
        </w:rPr>
      </w:pPr>
    </w:p>
    <w:p w14:paraId="27E9B3E8">
      <w:pPr>
        <w:keepNext w:val="0"/>
        <w:keepLines w:val="0"/>
        <w:pageBreakBefore w:val="0"/>
        <w:widowControl/>
        <w:numPr>
          <w:ilvl w:val="0"/>
          <w:numId w:val="2"/>
        </w:numPr>
        <w:kinsoku/>
        <w:wordWrap/>
        <w:overflowPunct/>
        <w:topLinePunct w:val="0"/>
        <w:autoSpaceDE/>
        <w:autoSpaceDN/>
        <w:bidi w:val="0"/>
        <w:adjustRightInd/>
        <w:snapToGrid/>
        <w:ind w:firstLine="562"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项目概况</w:t>
      </w:r>
    </w:p>
    <w:p w14:paraId="7BC86FB2">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1</w:t>
      </w:r>
      <w:r>
        <w:rPr>
          <w:rFonts w:hint="eastAsia" w:ascii="宋体" w:hAnsi="宋体" w:eastAsia="宋体" w:cs="宋体"/>
          <w:sz w:val="28"/>
          <w:szCs w:val="28"/>
          <w:lang w:eastAsia="zh-CN"/>
        </w:rPr>
        <w:t>）</w:t>
      </w:r>
      <w:r>
        <w:rPr>
          <w:rFonts w:hint="eastAsia" w:ascii="宋体" w:hAnsi="宋体" w:eastAsia="宋体" w:cs="宋体"/>
          <w:sz w:val="28"/>
          <w:szCs w:val="28"/>
        </w:rPr>
        <w:t xml:space="preserve">项目基本情况介绍： </w:t>
      </w:r>
    </w:p>
    <w:p w14:paraId="22C059C9">
      <w:pPr>
        <w:keepNext w:val="0"/>
        <w:keepLines w:val="0"/>
        <w:pageBreakBefore w:val="0"/>
        <w:widowControl/>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我院东胜部弱电网络楼宇间的线路，由于受分期建设、分批改造，以及安防系统分步建设、各区域独立部署等影像，存在大量的楼宇间网络、电路飞线，不仅影响美观，更是给网络和生产安全带来了极大的隐患。经前期详细摸排，目前已经基本捋清楚线路的来源和基本情况，现计划对东胜部楼宇间飞线及各楼宇间内网、外网及监控网三网进行梳理和重构。</w:t>
      </w:r>
    </w:p>
    <w:p w14:paraId="28E11921">
      <w:pPr>
        <w:numPr>
          <w:ilvl w:val="0"/>
          <w:numId w:val="3"/>
        </w:numPr>
        <w:spacing w:line="360" w:lineRule="auto"/>
        <w:jc w:val="left"/>
        <w:rPr>
          <w:rFonts w:hint="eastAsia" w:ascii="宋体" w:hAnsi="宋体" w:eastAsia="宋体" w:cs="宋体"/>
          <w:sz w:val="28"/>
          <w:szCs w:val="28"/>
        </w:rPr>
      </w:pPr>
      <w:r>
        <w:rPr>
          <w:rFonts w:hint="eastAsia" w:ascii="宋体" w:hAnsi="宋体" w:eastAsia="宋体" w:cs="宋体"/>
          <w:sz w:val="28"/>
          <w:szCs w:val="28"/>
        </w:rPr>
        <w:t>技术参数和要求（功能和质量）</w:t>
      </w:r>
    </w:p>
    <w:tbl>
      <w:tblPr>
        <w:tblStyle w:val="12"/>
        <w:tblW w:w="8994" w:type="dxa"/>
        <w:jc w:val="center"/>
        <w:tblLayout w:type="fixed"/>
        <w:tblCellMar>
          <w:top w:w="0" w:type="dxa"/>
          <w:left w:w="108" w:type="dxa"/>
          <w:bottom w:w="0" w:type="dxa"/>
          <w:right w:w="108" w:type="dxa"/>
        </w:tblCellMar>
      </w:tblPr>
      <w:tblGrid>
        <w:gridCol w:w="927"/>
        <w:gridCol w:w="950"/>
        <w:gridCol w:w="7117"/>
      </w:tblGrid>
      <w:tr w14:paraId="53FF3B15">
        <w:tblPrEx>
          <w:tblCellMar>
            <w:top w:w="0" w:type="dxa"/>
            <w:left w:w="108" w:type="dxa"/>
            <w:bottom w:w="0" w:type="dxa"/>
            <w:right w:w="108" w:type="dxa"/>
          </w:tblCellMar>
        </w:tblPrEx>
        <w:trPr>
          <w:trHeight w:val="90"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6755ED9C">
            <w:pPr>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参数性质</w:t>
            </w:r>
          </w:p>
        </w:tc>
        <w:tc>
          <w:tcPr>
            <w:tcW w:w="950" w:type="dxa"/>
            <w:tcBorders>
              <w:top w:val="single" w:color="auto" w:sz="4" w:space="0"/>
              <w:left w:val="nil"/>
              <w:bottom w:val="single" w:color="auto" w:sz="4" w:space="0"/>
              <w:right w:val="single" w:color="auto" w:sz="4" w:space="0"/>
            </w:tcBorders>
            <w:noWrap w:val="0"/>
            <w:vAlign w:val="center"/>
          </w:tcPr>
          <w:p w14:paraId="369C41E5">
            <w:pPr>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编号</w:t>
            </w:r>
          </w:p>
        </w:tc>
        <w:tc>
          <w:tcPr>
            <w:tcW w:w="7117" w:type="dxa"/>
            <w:tcBorders>
              <w:top w:val="single" w:color="auto" w:sz="4" w:space="0"/>
              <w:left w:val="nil"/>
              <w:bottom w:val="single" w:color="auto" w:sz="4" w:space="0"/>
              <w:right w:val="single" w:color="auto" w:sz="4" w:space="0"/>
            </w:tcBorders>
            <w:noWrap w:val="0"/>
            <w:vAlign w:val="center"/>
          </w:tcPr>
          <w:p w14:paraId="02973860">
            <w:pPr>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技术参数和要求</w:t>
            </w:r>
          </w:p>
        </w:tc>
      </w:tr>
      <w:tr w14:paraId="104AFDDB">
        <w:tblPrEx>
          <w:tblCellMar>
            <w:top w:w="0" w:type="dxa"/>
            <w:left w:w="108" w:type="dxa"/>
            <w:bottom w:w="0" w:type="dxa"/>
            <w:right w:w="108" w:type="dxa"/>
          </w:tblCellMar>
        </w:tblPrEx>
        <w:trPr>
          <w:trHeight w:val="681"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59AC8227">
            <w:pPr>
              <w:jc w:val="center"/>
              <w:rPr>
                <w:rFonts w:hint="eastAsia" w:ascii="仿宋_GB2312" w:hAnsi="仿宋_GB2312" w:eastAsia="仿宋_GB2312" w:cs="仿宋_GB2312"/>
                <w:sz w:val="32"/>
                <w:szCs w:val="32"/>
              </w:rPr>
            </w:pPr>
          </w:p>
        </w:tc>
        <w:tc>
          <w:tcPr>
            <w:tcW w:w="8067" w:type="dxa"/>
            <w:gridSpan w:val="2"/>
            <w:tcBorders>
              <w:top w:val="single" w:color="auto" w:sz="4" w:space="0"/>
              <w:left w:val="nil"/>
              <w:bottom w:val="single" w:color="auto" w:sz="4" w:space="0"/>
              <w:right w:val="single" w:color="auto" w:sz="4" w:space="0"/>
            </w:tcBorders>
            <w:noWrap w:val="0"/>
            <w:vAlign w:val="center"/>
          </w:tcPr>
          <w:p w14:paraId="3BEC01E5">
            <w:pPr>
              <w:keepNext w:val="0"/>
              <w:keepLines w:val="0"/>
              <w:widowControl/>
              <w:suppressLineNumbers w:val="0"/>
              <w:jc w:val="center"/>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b/>
                <w:bCs/>
                <w:i w:val="0"/>
                <w:iCs w:val="0"/>
                <w:color w:val="000000"/>
                <w:kern w:val="0"/>
                <w:sz w:val="28"/>
                <w:szCs w:val="28"/>
                <w:u w:val="none"/>
                <w:lang w:val="en-US" w:eastAsia="zh-CN" w:bidi="ar"/>
              </w:rPr>
              <w:t>一、交换机（≥1台）：</w:t>
            </w:r>
          </w:p>
        </w:tc>
      </w:tr>
      <w:tr w14:paraId="28583F71">
        <w:tblPrEx>
          <w:tblCellMar>
            <w:top w:w="0" w:type="dxa"/>
            <w:left w:w="108" w:type="dxa"/>
            <w:bottom w:w="0" w:type="dxa"/>
            <w:right w:w="108" w:type="dxa"/>
          </w:tblCellMar>
        </w:tblPrEx>
        <w:trPr>
          <w:trHeight w:val="90"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1E2F4096">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780B624D">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7117" w:type="dxa"/>
            <w:tcBorders>
              <w:top w:val="single" w:color="auto" w:sz="4" w:space="0"/>
              <w:left w:val="nil"/>
              <w:bottom w:val="single" w:color="auto" w:sz="4" w:space="0"/>
              <w:right w:val="single" w:color="auto" w:sz="4" w:space="0"/>
            </w:tcBorders>
            <w:noWrap w:val="0"/>
            <w:vAlign w:val="center"/>
          </w:tcPr>
          <w:p w14:paraId="45449AAD">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硬件架构：主控槽位≥2个，业务槽位数≥6个，主控槽位与业务槽位共8个，主控与业务接口分离，主控、电源、接口模块、风扇等关键部件可热插拔。</w:t>
            </w:r>
          </w:p>
        </w:tc>
      </w:tr>
      <w:tr w14:paraId="37BBE1C6">
        <w:tblPrEx>
          <w:tblCellMar>
            <w:top w:w="0" w:type="dxa"/>
            <w:left w:w="108" w:type="dxa"/>
            <w:bottom w:w="0" w:type="dxa"/>
            <w:right w:w="108" w:type="dxa"/>
          </w:tblCellMar>
        </w:tblPrEx>
        <w:trPr>
          <w:trHeight w:val="841"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2AAB7AB0">
            <w:pPr>
              <w:keepNext w:val="0"/>
              <w:keepLines w:val="0"/>
              <w:widowControl/>
              <w:suppressLineNumbers w:val="0"/>
              <w:jc w:val="center"/>
              <w:textAlignment w:val="center"/>
              <w:rPr>
                <w:rFonts w:hint="eastAsia" w:ascii="仿宋_GB2312" w:hAnsi="仿宋_GB2312" w:eastAsia="仿宋_GB2312" w:cs="仿宋_GB2312"/>
                <w:sz w:val="32"/>
                <w:szCs w:val="32"/>
                <w:lang w:eastAsia="zh-CN"/>
              </w:rPr>
            </w:pPr>
            <w:r>
              <w:rPr>
                <w:rFonts w:hint="eastAsia" w:ascii="仿宋" w:hAnsi="仿宋" w:eastAsia="仿宋" w:cs="仿宋"/>
                <w:i w:val="0"/>
                <w:iCs w:val="0"/>
                <w:color w:val="000000"/>
                <w:kern w:val="0"/>
                <w:sz w:val="24"/>
                <w:szCs w:val="24"/>
                <w:u w:val="none"/>
                <w:lang w:val="en-US" w:eastAsia="zh-CN" w:bidi="ar"/>
              </w:rPr>
              <w:t xml:space="preserve"> </w:t>
            </w:r>
          </w:p>
        </w:tc>
        <w:tc>
          <w:tcPr>
            <w:tcW w:w="950" w:type="dxa"/>
            <w:tcBorders>
              <w:top w:val="single" w:color="auto" w:sz="4" w:space="0"/>
              <w:left w:val="nil"/>
              <w:bottom w:val="single" w:color="auto" w:sz="4" w:space="0"/>
              <w:right w:val="single" w:color="auto" w:sz="4" w:space="0"/>
            </w:tcBorders>
            <w:noWrap w:val="0"/>
            <w:vAlign w:val="center"/>
          </w:tcPr>
          <w:p w14:paraId="023F0596">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7117" w:type="dxa"/>
            <w:tcBorders>
              <w:top w:val="single" w:color="auto" w:sz="4" w:space="0"/>
              <w:left w:val="nil"/>
              <w:bottom w:val="single" w:color="auto" w:sz="4" w:space="0"/>
              <w:right w:val="single" w:color="auto" w:sz="4" w:space="0"/>
            </w:tcBorders>
            <w:noWrap w:val="0"/>
            <w:vAlign w:val="center"/>
          </w:tcPr>
          <w:p w14:paraId="4A4AE267">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硬件性能：交换容量≥102Tbps，包转发率≥76800Mpps（以官网最小值为准）。</w:t>
            </w:r>
          </w:p>
        </w:tc>
      </w:tr>
      <w:tr w14:paraId="6DC31AB7">
        <w:tblPrEx>
          <w:tblCellMar>
            <w:top w:w="0" w:type="dxa"/>
            <w:left w:w="108" w:type="dxa"/>
            <w:bottom w:w="0" w:type="dxa"/>
            <w:right w:w="108" w:type="dxa"/>
          </w:tblCellMar>
        </w:tblPrEx>
        <w:trPr>
          <w:trHeight w:val="7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3F9E4B36">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3579FE80">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3</w:t>
            </w:r>
          </w:p>
        </w:tc>
        <w:tc>
          <w:tcPr>
            <w:tcW w:w="7117" w:type="dxa"/>
            <w:tcBorders>
              <w:top w:val="single" w:color="auto" w:sz="4" w:space="0"/>
              <w:left w:val="nil"/>
              <w:bottom w:val="single" w:color="auto" w:sz="4" w:space="0"/>
              <w:right w:val="single" w:color="auto" w:sz="4" w:space="0"/>
            </w:tcBorders>
            <w:noWrap w:val="0"/>
            <w:vAlign w:val="center"/>
          </w:tcPr>
          <w:p w14:paraId="238B21A8">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单台配置：实际配置双主控，≥4个万兆光端口，≥24个千兆电接口，≥48个千兆光接口，≥48个千兆单模光模块，≥2个电源模块。</w:t>
            </w:r>
          </w:p>
        </w:tc>
      </w:tr>
      <w:tr w14:paraId="4DCA96F1">
        <w:tblPrEx>
          <w:tblCellMar>
            <w:top w:w="0" w:type="dxa"/>
            <w:left w:w="108" w:type="dxa"/>
            <w:bottom w:w="0" w:type="dxa"/>
            <w:right w:w="108" w:type="dxa"/>
          </w:tblCellMar>
        </w:tblPrEx>
        <w:trPr>
          <w:trHeight w:val="82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35FB68C1">
            <w:pPr>
              <w:jc w:val="both"/>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030E2921">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4</w:t>
            </w:r>
          </w:p>
        </w:tc>
        <w:tc>
          <w:tcPr>
            <w:tcW w:w="7117" w:type="dxa"/>
            <w:tcBorders>
              <w:top w:val="single" w:color="auto" w:sz="4" w:space="0"/>
              <w:left w:val="nil"/>
              <w:bottom w:val="single" w:color="auto" w:sz="4" w:space="0"/>
              <w:right w:val="single" w:color="auto" w:sz="4" w:space="0"/>
            </w:tcBorders>
            <w:noWrap w:val="0"/>
            <w:vAlign w:val="center"/>
          </w:tcPr>
          <w:p w14:paraId="7C19C8AA">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支持风扇冗余设计，构造一个风扇单元故障，系统温度保持正常，流量不丢包；支持电源冗余设计，拔出一块电源，单板或设备都未下电，流量不丢包，要求提供第三方检测报告证明；</w:t>
            </w:r>
          </w:p>
        </w:tc>
      </w:tr>
      <w:tr w14:paraId="57B2DA5C">
        <w:tblPrEx>
          <w:tblCellMar>
            <w:top w:w="0" w:type="dxa"/>
            <w:left w:w="108" w:type="dxa"/>
            <w:bottom w:w="0" w:type="dxa"/>
            <w:right w:w="108" w:type="dxa"/>
          </w:tblCellMar>
        </w:tblPrEx>
        <w:trPr>
          <w:trHeight w:val="861"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1BE00531">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0DBCB51E">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7117" w:type="dxa"/>
            <w:tcBorders>
              <w:top w:val="single" w:color="auto" w:sz="4" w:space="0"/>
              <w:left w:val="nil"/>
              <w:bottom w:val="single" w:color="auto" w:sz="4" w:space="0"/>
              <w:right w:val="single" w:color="auto" w:sz="4" w:space="0"/>
            </w:tcBorders>
            <w:noWrap w:val="0"/>
            <w:vAlign w:val="center"/>
          </w:tcPr>
          <w:p w14:paraId="66CC1F71">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支持融合AC功能，无需额外配置单独硬件，就可以在交换机上对所有上线的AP 进行管理与配置；</w:t>
            </w:r>
          </w:p>
        </w:tc>
      </w:tr>
      <w:tr w14:paraId="672032A4">
        <w:tblPrEx>
          <w:tblCellMar>
            <w:top w:w="0" w:type="dxa"/>
            <w:left w:w="108" w:type="dxa"/>
            <w:bottom w:w="0" w:type="dxa"/>
            <w:right w:w="108" w:type="dxa"/>
          </w:tblCellMar>
        </w:tblPrEx>
        <w:trPr>
          <w:trHeight w:val="82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0FECAFB6">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1A327F5F">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6</w:t>
            </w:r>
          </w:p>
        </w:tc>
        <w:tc>
          <w:tcPr>
            <w:tcW w:w="7117" w:type="dxa"/>
            <w:tcBorders>
              <w:top w:val="single" w:color="auto" w:sz="4" w:space="0"/>
              <w:left w:val="nil"/>
              <w:bottom w:val="single" w:color="auto" w:sz="4" w:space="0"/>
              <w:right w:val="single" w:color="auto" w:sz="4" w:space="0"/>
            </w:tcBorders>
            <w:noWrap w:val="0"/>
            <w:vAlign w:val="center"/>
          </w:tcPr>
          <w:p w14:paraId="06E33D24">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支持硬件BFD，最小时间间隔为3ms，要求提供第三方检测报告证明；</w:t>
            </w:r>
          </w:p>
        </w:tc>
      </w:tr>
      <w:tr w14:paraId="7B8CE48D">
        <w:tblPrEx>
          <w:tblCellMar>
            <w:top w:w="0" w:type="dxa"/>
            <w:left w:w="108" w:type="dxa"/>
            <w:bottom w:w="0" w:type="dxa"/>
            <w:right w:w="108" w:type="dxa"/>
          </w:tblCellMar>
        </w:tblPrEx>
        <w:trPr>
          <w:trHeight w:val="93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57A25FA0">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4D7F83FA">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7</w:t>
            </w:r>
          </w:p>
        </w:tc>
        <w:tc>
          <w:tcPr>
            <w:tcW w:w="7117" w:type="dxa"/>
            <w:tcBorders>
              <w:top w:val="single" w:color="auto" w:sz="4" w:space="0"/>
              <w:left w:val="nil"/>
              <w:bottom w:val="single" w:color="auto" w:sz="4" w:space="0"/>
              <w:right w:val="single" w:color="auto" w:sz="4" w:space="0"/>
            </w:tcBorders>
            <w:noWrap w:val="0"/>
            <w:vAlign w:val="center"/>
          </w:tcPr>
          <w:p w14:paraId="4EB3E7E2">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实配CPU 防攻击保护功能，支持对协议攻击报文的识别和拦截，保证 CPU 的正常工作；</w:t>
            </w:r>
          </w:p>
        </w:tc>
      </w:tr>
      <w:tr w14:paraId="4CD303D1">
        <w:tblPrEx>
          <w:tblCellMar>
            <w:top w:w="0" w:type="dxa"/>
            <w:left w:w="108" w:type="dxa"/>
            <w:bottom w:w="0" w:type="dxa"/>
            <w:right w:w="108" w:type="dxa"/>
          </w:tblCellMar>
        </w:tblPrEx>
        <w:trPr>
          <w:trHeight w:val="839"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38D4BA8A">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646CCDBD">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8</w:t>
            </w:r>
          </w:p>
        </w:tc>
        <w:tc>
          <w:tcPr>
            <w:tcW w:w="7117" w:type="dxa"/>
            <w:tcBorders>
              <w:top w:val="single" w:color="auto" w:sz="4" w:space="0"/>
              <w:left w:val="nil"/>
              <w:bottom w:val="single" w:color="auto" w:sz="4" w:space="0"/>
              <w:right w:val="single" w:color="auto" w:sz="4" w:space="0"/>
            </w:tcBorders>
            <w:noWrap w:val="0"/>
            <w:vAlign w:val="center"/>
          </w:tcPr>
          <w:p w14:paraId="7229CD2E">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支持静态聚合链路备份与动态聚合链路备份功能，当参与聚合的端口中某个选中端口 down 掉时，其它选中端口能够接替该端口正常工作，收敛时间均在15ms 以内，要求提供第三方检测报告证明；</w:t>
            </w:r>
          </w:p>
        </w:tc>
      </w:tr>
      <w:tr w14:paraId="0C669E68">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401FD7B0">
            <w:pPr>
              <w:keepNext w:val="0"/>
              <w:keepLines w:val="0"/>
              <w:widowControl/>
              <w:suppressLineNumbers w:val="0"/>
              <w:jc w:val="center"/>
              <w:textAlignment w:val="center"/>
              <w:rPr>
                <w:rFonts w:hint="eastAsia" w:ascii="仿宋_GB2312" w:hAnsi="仿宋_GB2312" w:eastAsia="仿宋_GB2312" w:cs="仿宋_GB2312"/>
                <w:sz w:val="32"/>
                <w:szCs w:val="32"/>
              </w:rPr>
            </w:pPr>
            <w:r>
              <w:rPr>
                <w:rFonts w:hint="eastAsia" w:ascii="仿宋" w:hAnsi="仿宋" w:eastAsia="仿宋" w:cs="仿宋"/>
                <w:i w:val="0"/>
                <w:iCs w:val="0"/>
                <w:color w:val="000000"/>
                <w:kern w:val="0"/>
                <w:sz w:val="24"/>
                <w:szCs w:val="24"/>
                <w:u w:val="none"/>
                <w:lang w:val="en-US" w:eastAsia="zh-CN" w:bidi="ar"/>
              </w:rPr>
              <w:t>★</w:t>
            </w:r>
          </w:p>
        </w:tc>
        <w:tc>
          <w:tcPr>
            <w:tcW w:w="950" w:type="dxa"/>
            <w:tcBorders>
              <w:top w:val="single" w:color="auto" w:sz="4" w:space="0"/>
              <w:left w:val="nil"/>
              <w:bottom w:val="single" w:color="auto" w:sz="4" w:space="0"/>
              <w:right w:val="single" w:color="auto" w:sz="4" w:space="0"/>
            </w:tcBorders>
            <w:noWrap w:val="0"/>
            <w:vAlign w:val="center"/>
          </w:tcPr>
          <w:p w14:paraId="0828DC54">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9</w:t>
            </w:r>
          </w:p>
        </w:tc>
        <w:tc>
          <w:tcPr>
            <w:tcW w:w="7117" w:type="dxa"/>
            <w:tcBorders>
              <w:top w:val="single" w:color="auto" w:sz="4" w:space="0"/>
              <w:left w:val="nil"/>
              <w:bottom w:val="single" w:color="auto" w:sz="4" w:space="0"/>
              <w:right w:val="single" w:color="auto" w:sz="4" w:space="0"/>
            </w:tcBorders>
            <w:noWrap w:val="0"/>
            <w:vAlign w:val="center"/>
          </w:tcPr>
          <w:p w14:paraId="5C131C90">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支持基于UCL用户组方式，用户组内的用户，不论在何处登录获得任何IP地址，都拥有相同的访问权限，要求提供第三方检测报告证明；</w:t>
            </w:r>
          </w:p>
        </w:tc>
      </w:tr>
      <w:tr w14:paraId="2A2EE44A">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42049974">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2277B5B8">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10</w:t>
            </w:r>
          </w:p>
        </w:tc>
        <w:tc>
          <w:tcPr>
            <w:tcW w:w="7117" w:type="dxa"/>
            <w:tcBorders>
              <w:top w:val="single" w:color="auto" w:sz="4" w:space="0"/>
              <w:left w:val="nil"/>
              <w:bottom w:val="single" w:color="auto" w:sz="4" w:space="0"/>
              <w:right w:val="single" w:color="auto" w:sz="4" w:space="0"/>
            </w:tcBorders>
            <w:noWrap w:val="0"/>
            <w:vAlign w:val="center"/>
          </w:tcPr>
          <w:p w14:paraId="22EF54A4">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支持BFD for VRRP/BGP/IS-IS/OSPF/静态路由等，实现各协议的快速故障检测机制，故障检测时间小于50ms；</w:t>
            </w:r>
          </w:p>
        </w:tc>
      </w:tr>
      <w:tr w14:paraId="62C4471E">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4EC6CA67">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0ACC31FA">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11</w:t>
            </w:r>
          </w:p>
        </w:tc>
        <w:tc>
          <w:tcPr>
            <w:tcW w:w="7117" w:type="dxa"/>
            <w:tcBorders>
              <w:top w:val="single" w:color="auto" w:sz="4" w:space="0"/>
              <w:left w:val="nil"/>
              <w:bottom w:val="single" w:color="auto" w:sz="4" w:space="0"/>
              <w:right w:val="single" w:color="auto" w:sz="4" w:space="0"/>
            </w:tcBorders>
            <w:noWrap w:val="0"/>
            <w:vAlign w:val="center"/>
          </w:tcPr>
          <w:p w14:paraId="5B0385B3">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支持整网管理，支持整网设备的开局管理，管理设备上能查看所有成员设备，设备类型包括交换、路由、AC、AP和防火墙，要求提供第三方检测报告证明；</w:t>
            </w:r>
          </w:p>
        </w:tc>
      </w:tr>
      <w:tr w14:paraId="33B0409A">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0D392047">
            <w:pPr>
              <w:keepNext w:val="0"/>
              <w:keepLines w:val="0"/>
              <w:widowControl/>
              <w:suppressLineNumbers w:val="0"/>
              <w:jc w:val="center"/>
              <w:textAlignment w:val="center"/>
              <w:rPr>
                <w:rFonts w:hint="eastAsia" w:ascii="仿宋_GB2312" w:hAnsi="仿宋_GB2312" w:eastAsia="仿宋_GB2312" w:cs="仿宋_GB2312"/>
                <w:sz w:val="32"/>
                <w:szCs w:val="32"/>
              </w:rPr>
            </w:pPr>
            <w:r>
              <w:rPr>
                <w:rFonts w:hint="eastAsia" w:ascii="仿宋" w:hAnsi="仿宋" w:eastAsia="仿宋" w:cs="仿宋"/>
                <w:i w:val="0"/>
                <w:iCs w:val="0"/>
                <w:color w:val="000000"/>
                <w:kern w:val="0"/>
                <w:sz w:val="24"/>
                <w:szCs w:val="24"/>
                <w:u w:val="none"/>
                <w:lang w:val="en-US" w:eastAsia="zh-CN" w:bidi="ar"/>
              </w:rPr>
              <w:t>★</w:t>
            </w:r>
          </w:p>
        </w:tc>
        <w:tc>
          <w:tcPr>
            <w:tcW w:w="950" w:type="dxa"/>
            <w:tcBorders>
              <w:top w:val="single" w:color="auto" w:sz="4" w:space="0"/>
              <w:left w:val="nil"/>
              <w:bottom w:val="single" w:color="auto" w:sz="4" w:space="0"/>
              <w:right w:val="single" w:color="auto" w:sz="4" w:space="0"/>
            </w:tcBorders>
            <w:noWrap w:val="0"/>
            <w:vAlign w:val="center"/>
          </w:tcPr>
          <w:p w14:paraId="0DA27A84">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12</w:t>
            </w:r>
          </w:p>
        </w:tc>
        <w:tc>
          <w:tcPr>
            <w:tcW w:w="7117" w:type="dxa"/>
            <w:tcBorders>
              <w:top w:val="single" w:color="auto" w:sz="4" w:space="0"/>
              <w:left w:val="nil"/>
              <w:bottom w:val="single" w:color="auto" w:sz="4" w:space="0"/>
              <w:right w:val="single" w:color="auto" w:sz="4" w:space="0"/>
            </w:tcBorders>
            <w:noWrap w:val="0"/>
            <w:vAlign w:val="center"/>
          </w:tcPr>
          <w:p w14:paraId="4117A4EB">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支持一虚多技术，通过该功能可以实现创建、删除、单板划入、单板划出交换机的特性，最大支持5个虚拟交换机，要求提供第三方检测报告证明；</w:t>
            </w:r>
          </w:p>
        </w:tc>
      </w:tr>
      <w:tr w14:paraId="3AEB85F6">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40E4124F">
            <w:pPr>
              <w:keepNext w:val="0"/>
              <w:keepLines w:val="0"/>
              <w:widowControl/>
              <w:suppressLineNumbers w:val="0"/>
              <w:jc w:val="center"/>
              <w:textAlignment w:val="center"/>
              <w:rPr>
                <w:rFonts w:hint="eastAsia" w:ascii="仿宋_GB2312" w:hAnsi="仿宋_GB2312" w:eastAsia="仿宋_GB2312" w:cs="仿宋_GB2312"/>
                <w:sz w:val="32"/>
                <w:szCs w:val="32"/>
              </w:rPr>
            </w:pPr>
            <w:r>
              <w:rPr>
                <w:rFonts w:hint="eastAsia" w:ascii="仿宋" w:hAnsi="仿宋" w:eastAsia="仿宋" w:cs="仿宋"/>
                <w:i w:val="0"/>
                <w:iCs w:val="0"/>
                <w:color w:val="000000"/>
                <w:kern w:val="0"/>
                <w:sz w:val="24"/>
                <w:szCs w:val="24"/>
                <w:u w:val="none"/>
                <w:lang w:val="en-US" w:eastAsia="zh-CN" w:bidi="ar"/>
              </w:rPr>
              <w:t>★</w:t>
            </w:r>
          </w:p>
        </w:tc>
        <w:tc>
          <w:tcPr>
            <w:tcW w:w="950" w:type="dxa"/>
            <w:tcBorders>
              <w:top w:val="single" w:color="auto" w:sz="4" w:space="0"/>
              <w:left w:val="nil"/>
              <w:bottom w:val="single" w:color="auto" w:sz="4" w:space="0"/>
              <w:right w:val="single" w:color="auto" w:sz="4" w:space="0"/>
            </w:tcBorders>
            <w:noWrap w:val="0"/>
            <w:vAlign w:val="center"/>
          </w:tcPr>
          <w:p w14:paraId="0737EA37">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13</w:t>
            </w:r>
          </w:p>
        </w:tc>
        <w:tc>
          <w:tcPr>
            <w:tcW w:w="7117" w:type="dxa"/>
            <w:tcBorders>
              <w:top w:val="single" w:color="auto" w:sz="4" w:space="0"/>
              <w:left w:val="nil"/>
              <w:bottom w:val="single" w:color="auto" w:sz="4" w:space="0"/>
              <w:right w:val="single" w:color="auto" w:sz="4" w:space="0"/>
            </w:tcBorders>
            <w:noWrap w:val="0"/>
            <w:vAlign w:val="center"/>
          </w:tcPr>
          <w:p w14:paraId="246913EB">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支持以单板为颗粒度划入/划出实现接口、带宽资源分配;虚拟交换机支持二层流量正常转发，不同虚拟交换机的 VLAN 可完全独立、流量隔离，要求提供第三方检测报告证明。</w:t>
            </w:r>
          </w:p>
        </w:tc>
      </w:tr>
      <w:tr w14:paraId="3C43566B">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2F71BDC3">
            <w:pPr>
              <w:jc w:val="left"/>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566A1FC8">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14</w:t>
            </w:r>
          </w:p>
        </w:tc>
        <w:tc>
          <w:tcPr>
            <w:tcW w:w="7117" w:type="dxa"/>
            <w:tcBorders>
              <w:top w:val="single" w:color="auto" w:sz="4" w:space="0"/>
              <w:left w:val="nil"/>
              <w:bottom w:val="single" w:color="auto" w:sz="4" w:space="0"/>
              <w:right w:val="single" w:color="auto" w:sz="4" w:space="0"/>
            </w:tcBorders>
            <w:noWrap w:val="0"/>
            <w:vAlign w:val="center"/>
          </w:tcPr>
          <w:p w14:paraId="273096FE">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要求提供三年原厂质保服务。产品厂商需具备安全生产标准化三级及以上评审单位资格；要求提供工信部入网证，提供证书扫描件。</w:t>
            </w:r>
          </w:p>
        </w:tc>
      </w:tr>
      <w:tr w14:paraId="17EEE397">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7A32A08C">
            <w:pPr>
              <w:jc w:val="left"/>
              <w:rPr>
                <w:rFonts w:hint="eastAsia" w:ascii="仿宋_GB2312" w:hAnsi="仿宋_GB2312" w:eastAsia="仿宋_GB2312" w:cs="仿宋_GB2312"/>
                <w:sz w:val="32"/>
                <w:szCs w:val="32"/>
              </w:rPr>
            </w:pPr>
          </w:p>
        </w:tc>
        <w:tc>
          <w:tcPr>
            <w:tcW w:w="8067" w:type="dxa"/>
            <w:gridSpan w:val="2"/>
            <w:tcBorders>
              <w:top w:val="single" w:color="auto" w:sz="4" w:space="0"/>
              <w:left w:val="nil"/>
              <w:bottom w:val="single" w:color="auto" w:sz="4" w:space="0"/>
              <w:right w:val="single" w:color="auto" w:sz="4" w:space="0"/>
            </w:tcBorders>
            <w:noWrap w:val="0"/>
            <w:vAlign w:val="center"/>
          </w:tcPr>
          <w:p w14:paraId="5076E81F">
            <w:pPr>
              <w:keepNext w:val="0"/>
              <w:keepLines w:val="0"/>
              <w:widowControl/>
              <w:suppressLineNumbers w:val="0"/>
              <w:jc w:val="center"/>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b/>
                <w:bCs/>
                <w:i w:val="0"/>
                <w:iCs w:val="0"/>
                <w:color w:val="000000"/>
                <w:kern w:val="0"/>
                <w:sz w:val="28"/>
                <w:szCs w:val="28"/>
                <w:u w:val="none"/>
                <w:lang w:val="en-US" w:eastAsia="zh-CN" w:bidi="ar"/>
              </w:rPr>
              <w:t>二、安防多网合并—技术服务：</w:t>
            </w:r>
          </w:p>
        </w:tc>
      </w:tr>
      <w:tr w14:paraId="6B128A38">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5AB91081">
            <w:pPr>
              <w:keepNext w:val="0"/>
              <w:keepLines w:val="0"/>
              <w:widowControl/>
              <w:suppressLineNumbers w:val="0"/>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w:t>
            </w:r>
          </w:p>
        </w:tc>
        <w:tc>
          <w:tcPr>
            <w:tcW w:w="950" w:type="dxa"/>
            <w:tcBorders>
              <w:top w:val="single" w:color="auto" w:sz="4" w:space="0"/>
              <w:left w:val="nil"/>
              <w:bottom w:val="single" w:color="auto" w:sz="4" w:space="0"/>
              <w:right w:val="single" w:color="auto" w:sz="4" w:space="0"/>
            </w:tcBorders>
            <w:noWrap w:val="0"/>
            <w:vAlign w:val="center"/>
          </w:tcPr>
          <w:p w14:paraId="6A1CF547">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7117" w:type="dxa"/>
            <w:tcBorders>
              <w:top w:val="single" w:color="auto" w:sz="4" w:space="0"/>
              <w:left w:val="nil"/>
              <w:bottom w:val="single" w:color="auto" w:sz="4" w:space="0"/>
              <w:right w:val="single" w:color="auto" w:sz="4" w:space="0"/>
            </w:tcBorders>
            <w:noWrap w:val="0"/>
            <w:vAlign w:val="center"/>
          </w:tcPr>
          <w:p w14:paraId="4BC4FFBA">
            <w:pPr>
              <w:keepNext w:val="0"/>
              <w:keepLines w:val="0"/>
              <w:widowControl/>
              <w:suppressLineNumbers w:val="0"/>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网络架构整体规划：依托现有住院部传输链路进行保留与延伸，搭建双核心网络架构，优化全网路由拓扑，提升网络容错能力与传输稳定性。</w:t>
            </w:r>
          </w:p>
        </w:tc>
      </w:tr>
      <w:tr w14:paraId="3F9F858D">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1B11683A">
            <w:pPr>
              <w:keepNext w:val="0"/>
              <w:keepLines w:val="0"/>
              <w:widowControl/>
              <w:suppressLineNumbers w:val="0"/>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w:t>
            </w:r>
          </w:p>
        </w:tc>
        <w:tc>
          <w:tcPr>
            <w:tcW w:w="950" w:type="dxa"/>
            <w:tcBorders>
              <w:top w:val="single" w:color="auto" w:sz="4" w:space="0"/>
              <w:left w:val="nil"/>
              <w:bottom w:val="single" w:color="auto" w:sz="4" w:space="0"/>
              <w:right w:val="single" w:color="auto" w:sz="4" w:space="0"/>
            </w:tcBorders>
            <w:noWrap w:val="0"/>
            <w:vAlign w:val="center"/>
          </w:tcPr>
          <w:p w14:paraId="4B25AC21">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w:t>
            </w:r>
          </w:p>
        </w:tc>
        <w:tc>
          <w:tcPr>
            <w:tcW w:w="7117" w:type="dxa"/>
            <w:tcBorders>
              <w:top w:val="single" w:color="auto" w:sz="4" w:space="0"/>
              <w:left w:val="nil"/>
              <w:bottom w:val="single" w:color="auto" w:sz="4" w:space="0"/>
              <w:right w:val="single" w:color="auto" w:sz="4" w:space="0"/>
            </w:tcBorders>
            <w:noWrap w:val="0"/>
            <w:vAlign w:val="center"/>
          </w:tcPr>
          <w:p w14:paraId="0006A039">
            <w:pPr>
              <w:keepNext w:val="0"/>
              <w:keepLines w:val="0"/>
              <w:widowControl/>
              <w:suppressLineNumbers w:val="0"/>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带宽与VLAN精细化设计：楼间上行链路按10G标准建设，满足全院合计6.7Gbps的1665路视频安防并发转发带宽需求；统一划分并配置业务VLAN：视频监控VLAN10、门禁系统VLAN20、入侵报警及巡更系统VLAN30、设备管理VLAN40，实现各安防业务域物理隔离、互不干扰。</w:t>
            </w:r>
          </w:p>
        </w:tc>
      </w:tr>
      <w:tr w14:paraId="07A9D925">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126168CE">
            <w:pPr>
              <w:keepNext w:val="0"/>
              <w:keepLines w:val="0"/>
              <w:widowControl/>
              <w:suppressLineNumbers w:val="0"/>
              <w:jc w:val="left"/>
              <w:textAlignment w:val="center"/>
              <w:rPr>
                <w:rFonts w:hint="eastAsia" w:ascii="仿宋_GB2312" w:hAnsi="仿宋_GB2312" w:eastAsia="仿宋_GB2312" w:cs="仿宋_GB2312"/>
                <w:sz w:val="32"/>
                <w:szCs w:val="32"/>
              </w:rPr>
            </w:pPr>
            <w:r>
              <w:rPr>
                <w:rFonts w:hint="eastAsia" w:ascii="仿宋" w:hAnsi="仿宋" w:eastAsia="仿宋" w:cs="仿宋"/>
                <w:i w:val="0"/>
                <w:iCs w:val="0"/>
                <w:color w:val="000000"/>
                <w:kern w:val="0"/>
                <w:sz w:val="24"/>
                <w:szCs w:val="24"/>
                <w:u w:val="none"/>
                <w:lang w:val="en-US" w:eastAsia="zh-CN" w:bidi="ar"/>
              </w:rPr>
              <w:t>★</w:t>
            </w:r>
          </w:p>
        </w:tc>
        <w:tc>
          <w:tcPr>
            <w:tcW w:w="950" w:type="dxa"/>
            <w:tcBorders>
              <w:top w:val="single" w:color="auto" w:sz="4" w:space="0"/>
              <w:left w:val="nil"/>
              <w:bottom w:val="single" w:color="auto" w:sz="4" w:space="0"/>
              <w:right w:val="single" w:color="auto" w:sz="4" w:space="0"/>
            </w:tcBorders>
            <w:noWrap w:val="0"/>
            <w:vAlign w:val="center"/>
          </w:tcPr>
          <w:p w14:paraId="2DEFB0EC">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b w:val="0"/>
                <w:bCs w:val="0"/>
                <w:i w:val="0"/>
                <w:iCs w:val="0"/>
                <w:color w:val="000000"/>
                <w:kern w:val="0"/>
                <w:sz w:val="24"/>
                <w:szCs w:val="24"/>
                <w:u w:val="none"/>
                <w:lang w:val="en-US" w:eastAsia="zh-CN" w:bidi="ar"/>
              </w:rPr>
              <w:t>3</w:t>
            </w:r>
          </w:p>
        </w:tc>
        <w:tc>
          <w:tcPr>
            <w:tcW w:w="7117" w:type="dxa"/>
            <w:tcBorders>
              <w:top w:val="single" w:color="auto" w:sz="4" w:space="0"/>
              <w:left w:val="nil"/>
              <w:bottom w:val="single" w:color="auto" w:sz="4" w:space="0"/>
              <w:right w:val="single" w:color="auto" w:sz="4" w:space="0"/>
            </w:tcBorders>
            <w:noWrap w:val="0"/>
            <w:vAlign w:val="center"/>
          </w:tcPr>
          <w:p w14:paraId="54E13A1F">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网络安全与QoS策略配置：配置精细化QoS服务质量策略，优先保障视频监控、消防预警核心业务带宽与传输优先级；部署全网安全防护策略，隔离各业务域风险，防范网络攻击，保障院区安防网络安全稳定运行。</w:t>
            </w:r>
          </w:p>
        </w:tc>
      </w:tr>
      <w:tr w14:paraId="10C01479">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2EF89F4F">
            <w:pPr>
              <w:rPr>
                <w:rFonts w:hint="eastAsia" w:ascii="仿宋_GB2312" w:hAnsi="仿宋_GB2312" w:eastAsia="仿宋_GB2312" w:cs="仿宋_GB2312"/>
                <w:sz w:val="32"/>
                <w:szCs w:val="32"/>
              </w:rPr>
            </w:pPr>
          </w:p>
        </w:tc>
        <w:tc>
          <w:tcPr>
            <w:tcW w:w="8067" w:type="dxa"/>
            <w:gridSpan w:val="2"/>
            <w:tcBorders>
              <w:top w:val="single" w:color="auto" w:sz="4" w:space="0"/>
              <w:left w:val="nil"/>
              <w:bottom w:val="single" w:color="auto" w:sz="4" w:space="0"/>
              <w:right w:val="single" w:color="auto" w:sz="4" w:space="0"/>
            </w:tcBorders>
            <w:noWrap w:val="0"/>
            <w:vAlign w:val="center"/>
          </w:tcPr>
          <w:p w14:paraId="6F7C9B6A">
            <w:pPr>
              <w:keepNext w:val="0"/>
              <w:keepLines w:val="0"/>
              <w:widowControl/>
              <w:suppressLineNumbers w:val="0"/>
              <w:jc w:val="center"/>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b/>
                <w:bCs/>
                <w:i w:val="0"/>
                <w:iCs w:val="0"/>
                <w:color w:val="000000"/>
                <w:kern w:val="0"/>
                <w:sz w:val="28"/>
                <w:szCs w:val="28"/>
                <w:u w:val="none"/>
                <w:lang w:val="en-US" w:eastAsia="zh-CN" w:bidi="ar"/>
              </w:rPr>
              <w:t>三、弱电施工及辅材部分</w:t>
            </w:r>
          </w:p>
        </w:tc>
      </w:tr>
      <w:tr w14:paraId="48D9D06F">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0ED10806">
            <w:pP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312A7D5C">
            <w:pPr>
              <w:keepNext w:val="0"/>
              <w:keepLines w:val="0"/>
              <w:widowControl/>
              <w:suppressLineNumbers w:val="0"/>
              <w:jc w:val="center"/>
              <w:textAlignment w:val="center"/>
              <w:rPr>
                <w:rFonts w:hint="default" w:ascii="仿宋" w:hAnsi="仿宋" w:eastAsia="仿宋" w:cs="仿宋"/>
                <w:b/>
                <w:bCs/>
                <w:i w:val="0"/>
                <w:iCs w:val="0"/>
                <w:color w:val="000000"/>
                <w:kern w:val="0"/>
                <w:sz w:val="28"/>
                <w:szCs w:val="28"/>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1</w:t>
            </w:r>
          </w:p>
        </w:tc>
        <w:tc>
          <w:tcPr>
            <w:tcW w:w="7117" w:type="dxa"/>
            <w:tcBorders>
              <w:top w:val="single" w:color="auto" w:sz="4" w:space="0"/>
              <w:left w:val="nil"/>
              <w:bottom w:val="single" w:color="auto" w:sz="4" w:space="0"/>
              <w:right w:val="single" w:color="auto" w:sz="4" w:space="0"/>
            </w:tcBorders>
            <w:noWrap w:val="0"/>
            <w:vAlign w:val="center"/>
          </w:tcPr>
          <w:p w14:paraId="5F91012F">
            <w:pPr>
              <w:keepNext w:val="0"/>
              <w:keepLines w:val="0"/>
              <w:widowControl/>
              <w:suppressLineNumbers w:val="0"/>
              <w:jc w:val="both"/>
              <w:textAlignment w:val="center"/>
              <w:rPr>
                <w:rFonts w:hint="eastAsia" w:ascii="仿宋" w:hAnsi="仿宋" w:eastAsia="仿宋" w:cs="仿宋"/>
                <w:b w:val="0"/>
                <w:bCs w:val="0"/>
                <w:i w:val="0"/>
                <w:iCs w:val="0"/>
                <w:color w:val="auto"/>
                <w:kern w:val="0"/>
                <w:sz w:val="24"/>
                <w:szCs w:val="24"/>
                <w:u w:val="none"/>
                <w:lang w:val="en-US" w:eastAsia="zh-CN" w:bidi="ar"/>
              </w:rPr>
            </w:pPr>
            <w:r>
              <w:rPr>
                <w:rFonts w:hint="eastAsia" w:ascii="仿宋" w:hAnsi="仿宋" w:eastAsia="仿宋" w:cs="仿宋"/>
                <w:b w:val="0"/>
                <w:bCs w:val="0"/>
                <w:i w:val="0"/>
                <w:iCs w:val="0"/>
                <w:color w:val="auto"/>
                <w:kern w:val="0"/>
                <w:sz w:val="24"/>
                <w:szCs w:val="24"/>
                <w:u w:val="none"/>
                <w:lang w:val="en-US" w:eastAsia="zh-CN" w:bidi="ar"/>
              </w:rPr>
              <w:t>管网建设优化：</w:t>
            </w:r>
          </w:p>
          <w:p w14:paraId="46F6F392">
            <w:pPr>
              <w:keepNext w:val="0"/>
              <w:keepLines w:val="0"/>
              <w:widowControl/>
              <w:suppressLineNumbers w:val="0"/>
              <w:jc w:val="both"/>
              <w:textAlignment w:val="center"/>
              <w:rPr>
                <w:rFonts w:hint="eastAsia" w:ascii="仿宋" w:hAnsi="仿宋" w:eastAsia="仿宋" w:cs="仿宋"/>
                <w:b/>
                <w:bCs/>
                <w:i w:val="0"/>
                <w:iCs w:val="0"/>
                <w:color w:val="000000"/>
                <w:kern w:val="0"/>
                <w:sz w:val="28"/>
                <w:szCs w:val="28"/>
                <w:u w:val="none"/>
                <w:lang w:val="en-US" w:eastAsia="zh-CN" w:bidi="ar"/>
              </w:rPr>
            </w:pPr>
            <w:r>
              <w:rPr>
                <w:rFonts w:hint="eastAsia" w:ascii="仿宋" w:hAnsi="宋体" w:eastAsia="仿宋" w:cs="宋体"/>
                <w:color w:val="auto"/>
                <w:sz w:val="24"/>
                <w:szCs w:val="24"/>
                <w:lang w:val="en-US" w:eastAsia="zh-CN"/>
              </w:rPr>
              <w:t>新建</w:t>
            </w:r>
            <w:r>
              <w:rPr>
                <w:rFonts w:ascii="仿宋" w:hAnsi="宋体" w:eastAsia="仿宋" w:cs="宋体"/>
                <w:color w:val="auto"/>
                <w:sz w:val="24"/>
                <w:szCs w:val="24"/>
              </w:rPr>
              <w:t>院区</w:t>
            </w:r>
            <w:r>
              <w:rPr>
                <w:rFonts w:hint="eastAsia" w:ascii="仿宋" w:hAnsi="宋体" w:eastAsia="仿宋" w:cs="宋体"/>
                <w:color w:val="auto"/>
                <w:sz w:val="24"/>
                <w:szCs w:val="24"/>
                <w:lang w:val="en-US" w:eastAsia="zh-CN"/>
              </w:rPr>
              <w:t>内弱电和消防</w:t>
            </w:r>
            <w:r>
              <w:rPr>
                <w:rFonts w:ascii="仿宋" w:hAnsi="宋体" w:eastAsia="仿宋" w:cs="宋体"/>
                <w:color w:val="auto"/>
                <w:sz w:val="24"/>
                <w:szCs w:val="24"/>
              </w:rPr>
              <w:t>管网架构</w:t>
            </w:r>
            <w:r>
              <w:rPr>
                <w:rFonts w:hint="eastAsia" w:ascii="仿宋" w:hAnsi="宋体" w:eastAsia="仿宋" w:cs="宋体"/>
                <w:color w:val="auto"/>
                <w:sz w:val="24"/>
                <w:szCs w:val="24"/>
                <w:lang w:val="en-US" w:eastAsia="zh-CN"/>
              </w:rPr>
              <w:t>和</w:t>
            </w:r>
            <w:r>
              <w:rPr>
                <w:rFonts w:ascii="仿宋" w:hAnsi="宋体" w:eastAsia="仿宋" w:cs="宋体"/>
                <w:color w:val="auto"/>
                <w:sz w:val="24"/>
                <w:szCs w:val="24"/>
              </w:rPr>
              <w:t>运营商共享入户主通信管道</w:t>
            </w:r>
            <w:r>
              <w:rPr>
                <w:rFonts w:hint="eastAsia" w:ascii="仿宋" w:hAnsi="宋体" w:eastAsia="仿宋" w:cs="宋体"/>
                <w:color w:val="auto"/>
                <w:sz w:val="24"/>
                <w:szCs w:val="24"/>
                <w:lang w:val="en-US" w:eastAsia="zh-CN"/>
              </w:rPr>
              <w:t>的</w:t>
            </w:r>
            <w:r>
              <w:rPr>
                <w:rFonts w:ascii="仿宋" w:hAnsi="宋体" w:eastAsia="仿宋" w:cs="宋体"/>
                <w:color w:val="auto"/>
                <w:sz w:val="24"/>
                <w:szCs w:val="24"/>
              </w:rPr>
              <w:t>建设，实施市政接入点至院内进线间主管道敷设、人（手）孔、套管、防水防火封堵、路由恢复、贯通测试及配套工作，按多家运营商远期接入预留管孔；严格执行通信管道国标、消防及医院感控、诊疗保障管理要求，完工后移交医院统一管孔资源管理，包工包料包验收包质保</w:t>
            </w:r>
            <w:r>
              <w:rPr>
                <w:rFonts w:hint="eastAsia" w:ascii="仿宋" w:hAnsi="宋体" w:eastAsia="仿宋" w:cs="宋体"/>
                <w:color w:val="auto"/>
                <w:sz w:val="24"/>
                <w:szCs w:val="24"/>
                <w:lang w:eastAsia="zh-CN"/>
              </w:rPr>
              <w:t>。</w:t>
            </w:r>
          </w:p>
        </w:tc>
      </w:tr>
      <w:tr w14:paraId="2461FB6F">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17548B06">
            <w:pP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33C2A4B7">
            <w:pPr>
              <w:keepNext w:val="0"/>
              <w:keepLines w:val="0"/>
              <w:widowControl/>
              <w:suppressLineNumbers w:val="0"/>
              <w:jc w:val="center"/>
              <w:textAlignment w:val="center"/>
              <w:rPr>
                <w:rFonts w:hint="default" w:ascii="仿宋" w:hAnsi="仿宋" w:eastAsia="仿宋" w:cs="仿宋"/>
                <w:b/>
                <w:bCs/>
                <w:i w:val="0"/>
                <w:iCs w:val="0"/>
                <w:color w:val="000000"/>
                <w:kern w:val="0"/>
                <w:sz w:val="28"/>
                <w:szCs w:val="28"/>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2</w:t>
            </w:r>
          </w:p>
        </w:tc>
        <w:tc>
          <w:tcPr>
            <w:tcW w:w="7117" w:type="dxa"/>
            <w:tcBorders>
              <w:top w:val="single" w:color="auto" w:sz="4" w:space="0"/>
              <w:left w:val="nil"/>
              <w:bottom w:val="single" w:color="auto" w:sz="4" w:space="0"/>
              <w:right w:val="single" w:color="auto" w:sz="4" w:space="0"/>
            </w:tcBorders>
            <w:noWrap w:val="0"/>
            <w:vAlign w:val="center"/>
          </w:tcPr>
          <w:p w14:paraId="327BF7C4">
            <w:pPr>
              <w:keepNext w:val="0"/>
              <w:keepLines w:val="0"/>
              <w:widowControl/>
              <w:suppressLineNumbers w:val="0"/>
              <w:jc w:val="both"/>
              <w:textAlignment w:val="center"/>
              <w:rPr>
                <w:rFonts w:hint="eastAsia" w:ascii="仿宋" w:hAnsi="宋体" w:eastAsia="仿宋" w:cs="宋体"/>
                <w:color w:val="auto"/>
                <w:sz w:val="24"/>
                <w:szCs w:val="24"/>
                <w:lang w:val="en-US" w:eastAsia="zh-CN"/>
              </w:rPr>
            </w:pPr>
            <w:r>
              <w:rPr>
                <w:rFonts w:hint="eastAsia" w:ascii="仿宋" w:hAnsi="宋体" w:eastAsia="仿宋" w:cs="宋体"/>
                <w:color w:val="auto"/>
                <w:sz w:val="24"/>
                <w:szCs w:val="24"/>
                <w:lang w:val="en-US" w:eastAsia="zh-CN"/>
              </w:rPr>
              <w:t>光路系统重建：</w:t>
            </w:r>
          </w:p>
          <w:p w14:paraId="13FB81E6">
            <w:pPr>
              <w:keepNext w:val="0"/>
              <w:keepLines w:val="0"/>
              <w:widowControl/>
              <w:suppressLineNumbers w:val="0"/>
              <w:jc w:val="both"/>
              <w:textAlignment w:val="center"/>
              <w:rPr>
                <w:rFonts w:hint="eastAsia" w:ascii="仿宋" w:hAnsi="仿宋" w:eastAsia="仿宋" w:cs="仿宋"/>
                <w:b/>
                <w:bCs/>
                <w:i w:val="0"/>
                <w:iCs w:val="0"/>
                <w:color w:val="000000"/>
                <w:kern w:val="0"/>
                <w:sz w:val="28"/>
                <w:szCs w:val="28"/>
                <w:u w:val="none"/>
                <w:lang w:val="en-US" w:eastAsia="zh-CN" w:bidi="ar"/>
              </w:rPr>
            </w:pPr>
            <w:r>
              <w:rPr>
                <w:rFonts w:ascii="仿宋" w:hAnsi="宋体" w:eastAsia="仿宋" w:cs="宋体"/>
                <w:color w:val="auto"/>
                <w:kern w:val="0"/>
                <w:sz w:val="24"/>
                <w:szCs w:val="24"/>
                <w:lang w:val="en-US" w:eastAsia="zh-CN" w:bidi="ar"/>
              </w:rPr>
              <w:t>各单体楼栋信号统一汇聚至住院4F核心机房，新建4根24芯主干光缆（医疗内网主备2根、外网1根、备用1根），整体规划</w:t>
            </w:r>
            <w:r>
              <w:rPr>
                <w:rFonts w:hint="eastAsia" w:ascii="仿宋" w:hAnsi="宋体" w:eastAsia="仿宋" w:cs="宋体"/>
                <w:color w:val="auto"/>
                <w:kern w:val="0"/>
                <w:sz w:val="24"/>
                <w:szCs w:val="24"/>
                <w:lang w:val="en-US" w:eastAsia="zh-CN" w:bidi="ar"/>
              </w:rPr>
              <w:t>不少于</w:t>
            </w:r>
            <w:r>
              <w:rPr>
                <w:rFonts w:ascii="仿宋" w:hAnsi="宋体" w:eastAsia="仿宋" w:cs="宋体"/>
                <w:color w:val="auto"/>
                <w:kern w:val="0"/>
                <w:sz w:val="24"/>
                <w:szCs w:val="24"/>
                <w:lang w:val="en-US" w:eastAsia="zh-CN" w:bidi="ar"/>
              </w:rPr>
              <w:t>40条数据</w:t>
            </w:r>
            <w:r>
              <w:rPr>
                <w:rFonts w:hint="eastAsia" w:ascii="仿宋" w:hAnsi="宋体" w:eastAsia="仿宋" w:cs="宋体"/>
                <w:color w:val="auto"/>
                <w:kern w:val="0"/>
                <w:sz w:val="24"/>
                <w:szCs w:val="24"/>
                <w:lang w:val="en-US" w:eastAsia="zh-CN" w:bidi="ar"/>
              </w:rPr>
              <w:t>、</w:t>
            </w:r>
            <w:r>
              <w:rPr>
                <w:rFonts w:ascii="仿宋" w:hAnsi="宋体" w:eastAsia="仿宋" w:cs="宋体"/>
                <w:color w:val="auto"/>
                <w:kern w:val="0"/>
                <w:sz w:val="24"/>
                <w:szCs w:val="24"/>
                <w:lang w:val="en-US" w:eastAsia="zh-CN" w:bidi="ar"/>
              </w:rPr>
              <w:t>安防专用光缆敷设路线。依托现有住院部传输链路进行保留与延伸，搭建双核心网络架构，优化全网路由拓扑，提升网络容错能力与传输稳定性</w:t>
            </w:r>
            <w:r>
              <w:rPr>
                <w:rFonts w:hint="eastAsia" w:ascii="仿宋" w:hAnsi="宋体" w:eastAsia="仿宋" w:cs="宋体"/>
                <w:color w:val="auto"/>
                <w:kern w:val="0"/>
                <w:sz w:val="24"/>
                <w:szCs w:val="24"/>
                <w:lang w:val="en-US" w:eastAsia="zh-CN" w:bidi="ar"/>
              </w:rPr>
              <w:t>，</w:t>
            </w:r>
            <w:r>
              <w:rPr>
                <w:rStyle w:val="15"/>
                <w:rFonts w:ascii="仿宋" w:hAnsi="宋体" w:eastAsia="仿宋" w:cs="宋体"/>
                <w:b w:val="0"/>
                <w:bCs/>
                <w:color w:val="auto"/>
                <w:kern w:val="0"/>
                <w:sz w:val="24"/>
                <w:szCs w:val="24"/>
                <w:lang w:val="en-US" w:eastAsia="zh-CN" w:bidi="ar"/>
              </w:rPr>
              <w:t>带宽与VLAN</w:t>
            </w:r>
            <w:r>
              <w:rPr>
                <w:rStyle w:val="15"/>
                <w:rFonts w:hint="eastAsia" w:ascii="仿宋" w:hAnsi="宋体" w:eastAsia="仿宋" w:cs="宋体"/>
                <w:b w:val="0"/>
                <w:bCs/>
                <w:color w:val="auto"/>
                <w:kern w:val="0"/>
                <w:sz w:val="24"/>
                <w:szCs w:val="24"/>
                <w:lang w:val="en-US" w:eastAsia="zh-CN" w:bidi="ar"/>
              </w:rPr>
              <w:t>按照医院要求进行调整配置</w:t>
            </w:r>
            <w:r>
              <w:rPr>
                <w:rFonts w:hint="eastAsia" w:ascii="仿宋" w:hAnsi="宋体" w:eastAsia="仿宋" w:cs="宋体"/>
                <w:b w:val="0"/>
                <w:bCs/>
                <w:color w:val="auto"/>
                <w:kern w:val="0"/>
                <w:sz w:val="24"/>
                <w:szCs w:val="24"/>
                <w:lang w:val="en-US" w:eastAsia="zh-CN" w:bidi="ar"/>
              </w:rPr>
              <w:t>。</w:t>
            </w:r>
            <w:r>
              <w:rPr>
                <w:rFonts w:hint="eastAsia" w:ascii="仿宋" w:hAnsi="宋体" w:eastAsia="仿宋" w:cs="宋体"/>
                <w:color w:val="auto"/>
                <w:kern w:val="0"/>
                <w:sz w:val="24"/>
                <w:szCs w:val="24"/>
                <w:lang w:val="en-US" w:eastAsia="zh-CN" w:bidi="ar"/>
              </w:rPr>
              <w:t>安防线路需要按照医院要求，将教学楼、综合楼以及原门诊楼东西住院楼的线路进行重新铺设，分别汇总到中控室与综合六楼机房，并负责网络调试。</w:t>
            </w:r>
          </w:p>
        </w:tc>
      </w:tr>
      <w:tr w14:paraId="736FE265">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325CFEF9">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6C29ED17">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3</w:t>
            </w:r>
          </w:p>
        </w:tc>
        <w:tc>
          <w:tcPr>
            <w:tcW w:w="7117" w:type="dxa"/>
            <w:tcBorders>
              <w:top w:val="single" w:color="auto" w:sz="4" w:space="0"/>
              <w:left w:val="nil"/>
              <w:bottom w:val="single" w:color="auto" w:sz="4" w:space="0"/>
              <w:right w:val="single" w:color="auto" w:sz="4" w:space="0"/>
            </w:tcBorders>
            <w:noWrap w:val="0"/>
            <w:vAlign w:val="top"/>
          </w:tcPr>
          <w:p w14:paraId="309386D8">
            <w:pPr>
              <w:keepNext w:val="0"/>
              <w:keepLines w:val="0"/>
              <w:widowControl/>
              <w:suppressLineNumbers w:val="0"/>
              <w:jc w:val="left"/>
              <w:textAlignment w:val="top"/>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18芯控制电缆铺设：</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18芯控制电缆≥800米，（路径：教学楼消控室到住院部消控室共1根，沿室外管网、室内桥架。）NH-KVVP2 18×2.5 耐火控制电缆敷设：电缆额定电压 450/750V，敷设环境温度不低于 0℃，最小弯曲半径不小于电缆外径的 12 倍；采用穿管、桥架或电缆沟固定敷设，严禁扭曲、硬弯、强拉；铜带屏蔽层应按设计要求可靠接地；敷设完成后进行绝缘电阻、通断及屏蔽连续性测试，电缆标识清晰，隐蔽部位验收合格。包含穿管、牵引、临时保护、绝缘测试、标识、端头处理、吊顶内/大跨距高空作业等。</w:t>
            </w:r>
          </w:p>
        </w:tc>
      </w:tr>
      <w:tr w14:paraId="4B29C070">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40749E84">
            <w:pPr>
              <w:keepNext w:val="0"/>
              <w:keepLines w:val="0"/>
              <w:widowControl/>
              <w:suppressLineNumbers w:val="0"/>
              <w:jc w:val="center"/>
              <w:textAlignment w:val="center"/>
              <w:rPr>
                <w:rFonts w:hint="eastAsia" w:ascii="仿宋_GB2312" w:hAnsi="仿宋_GB2312" w:eastAsia="仿宋_GB2312" w:cs="仿宋_GB2312"/>
                <w:sz w:val="32"/>
                <w:szCs w:val="32"/>
              </w:rPr>
            </w:pPr>
            <w:r>
              <w:rPr>
                <w:rFonts w:hint="eastAsia" w:ascii="仿宋" w:hAnsi="仿宋" w:eastAsia="仿宋" w:cs="仿宋"/>
                <w:i w:val="0"/>
                <w:iCs w:val="0"/>
                <w:color w:val="000000"/>
                <w:kern w:val="0"/>
                <w:sz w:val="24"/>
                <w:szCs w:val="24"/>
                <w:u w:val="none"/>
                <w:lang w:val="en-US" w:eastAsia="zh-CN" w:bidi="ar"/>
              </w:rPr>
              <w:t>★</w:t>
            </w:r>
          </w:p>
        </w:tc>
        <w:tc>
          <w:tcPr>
            <w:tcW w:w="950" w:type="dxa"/>
            <w:tcBorders>
              <w:top w:val="single" w:color="auto" w:sz="4" w:space="0"/>
              <w:left w:val="nil"/>
              <w:bottom w:val="single" w:color="auto" w:sz="4" w:space="0"/>
              <w:right w:val="single" w:color="auto" w:sz="4" w:space="0"/>
            </w:tcBorders>
            <w:noWrap w:val="0"/>
            <w:vAlign w:val="center"/>
          </w:tcPr>
          <w:p w14:paraId="1FDDFC1E">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4</w:t>
            </w:r>
          </w:p>
        </w:tc>
        <w:tc>
          <w:tcPr>
            <w:tcW w:w="7117" w:type="dxa"/>
            <w:tcBorders>
              <w:top w:val="single" w:color="auto" w:sz="4" w:space="0"/>
              <w:left w:val="nil"/>
              <w:bottom w:val="single" w:color="auto" w:sz="4" w:space="0"/>
              <w:right w:val="single" w:color="auto" w:sz="4" w:space="0"/>
            </w:tcBorders>
            <w:noWrap w:val="0"/>
            <w:vAlign w:val="top"/>
          </w:tcPr>
          <w:p w14:paraId="32C01AED">
            <w:pPr>
              <w:keepNext w:val="0"/>
              <w:keepLines w:val="0"/>
              <w:widowControl/>
              <w:suppressLineNumbers w:val="0"/>
              <w:jc w:val="left"/>
              <w:textAlignment w:val="top"/>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24芯控制电缆铺设：</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24芯控制电缆≥1200米，（路径：综合楼消控室到住院部消控室共4根沿室外管网、室内桥架）NH-KVVP2 24×2.5 耐火控制电缆敷设：电缆额定电压 450/750V，敷设环境温度不低于 0℃，最小弯曲半径不小于电缆外径的 13 倍；采用穿管、桥架或电缆沟固定敷设，严禁扭曲、硬弯、强拉；铜带屏蔽层应按设计要求可靠接地；敷设完成后进行绝缘电阻、通断及屏蔽连续性测试，电缆标识清晰，隐蔽部位验收合格。包含穿管、牵引、临时保护、绝缘测试、标识、端头处理、吊顶内/大跨距高空作业等。</w:t>
            </w:r>
          </w:p>
        </w:tc>
      </w:tr>
      <w:tr w14:paraId="5590218A">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2BB4E853">
            <w:pPr>
              <w:keepNext w:val="0"/>
              <w:keepLines w:val="0"/>
              <w:widowControl/>
              <w:suppressLineNumbers w:val="0"/>
              <w:jc w:val="center"/>
              <w:textAlignment w:val="center"/>
              <w:rPr>
                <w:rFonts w:hint="eastAsia" w:ascii="仿宋_GB2312" w:hAnsi="仿宋_GB2312" w:eastAsia="仿宋_GB2312" w:cs="仿宋_GB2312"/>
                <w:sz w:val="32"/>
                <w:szCs w:val="32"/>
              </w:rPr>
            </w:pPr>
            <w:r>
              <w:rPr>
                <w:rFonts w:hint="eastAsia" w:ascii="仿宋" w:hAnsi="仿宋" w:eastAsia="仿宋" w:cs="仿宋"/>
                <w:i w:val="0"/>
                <w:iCs w:val="0"/>
                <w:color w:val="000000"/>
                <w:kern w:val="0"/>
                <w:sz w:val="24"/>
                <w:szCs w:val="24"/>
                <w:u w:val="none"/>
                <w:lang w:val="en-US" w:eastAsia="zh-CN" w:bidi="ar"/>
              </w:rPr>
              <w:t>★</w:t>
            </w:r>
          </w:p>
        </w:tc>
        <w:tc>
          <w:tcPr>
            <w:tcW w:w="950" w:type="dxa"/>
            <w:tcBorders>
              <w:top w:val="single" w:color="auto" w:sz="4" w:space="0"/>
              <w:left w:val="nil"/>
              <w:bottom w:val="single" w:color="auto" w:sz="4" w:space="0"/>
              <w:right w:val="single" w:color="auto" w:sz="4" w:space="0"/>
            </w:tcBorders>
            <w:noWrap w:val="0"/>
            <w:vAlign w:val="center"/>
          </w:tcPr>
          <w:p w14:paraId="61A7D137">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7117" w:type="dxa"/>
            <w:tcBorders>
              <w:top w:val="single" w:color="auto" w:sz="4" w:space="0"/>
              <w:left w:val="nil"/>
              <w:bottom w:val="single" w:color="auto" w:sz="4" w:space="0"/>
              <w:right w:val="single" w:color="auto" w:sz="4" w:space="0"/>
            </w:tcBorders>
            <w:noWrap w:val="0"/>
            <w:vAlign w:val="center"/>
          </w:tcPr>
          <w:p w14:paraId="7B07A57A">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Style w:val="22"/>
                <w:lang w:val="en-US" w:eastAsia="zh-CN" w:bidi="ar"/>
              </w:rPr>
              <w:t>24芯室外单模光缆：</w:t>
            </w:r>
            <w:r>
              <w:rPr>
                <w:rStyle w:val="22"/>
                <w:lang w:val="en-US" w:eastAsia="zh-CN" w:bidi="ar"/>
              </w:rPr>
              <w:br w:type="textWrapping"/>
            </w:r>
            <w:r>
              <w:rPr>
                <w:rStyle w:val="22"/>
                <w:lang w:val="en-US" w:eastAsia="zh-CN" w:bidi="ar"/>
              </w:rPr>
              <w:t>24芯室外单模光缆≥23140米，</w:t>
            </w:r>
            <w:r>
              <w:rPr>
                <w:rStyle w:val="19"/>
                <w:lang w:val="en-US" w:eastAsia="zh-CN" w:bidi="ar"/>
              </w:rPr>
              <w:t>采用GYTAH58-24B1.3或同规格光缆</w:t>
            </w:r>
            <w:r>
              <w:rPr>
                <w:rStyle w:val="22"/>
                <w:lang w:val="en-US" w:eastAsia="zh-CN" w:bidi="ar"/>
              </w:rPr>
              <w:t xml:space="preserve"> ；通信用室外层绞填充式铠装光缆，24芯 G.652D 单模低水峰光纤；结构为磷化钢丝加强芯 + 松套层绞填充 + 双面涂塑铝带纵包 + 双面涂塑皱纹钢带铠装 + 低烟无卤阻燃外护套；短期允许拉伸力不小于 3000N，短期允许压扁力不小于 3000N/100mm；工作温度 -40℃～+70℃；1310nm 衰减系数不大于 0.36dB/km，1550nm 不大于 0.22dB/km；执行 YD/T 901-2018 标准。投标产品须提供现行有效产品认证证书及型式试验报告，批量供货产品应与认证样品保持一致。</w:t>
            </w:r>
          </w:p>
        </w:tc>
      </w:tr>
      <w:tr w14:paraId="3CDD813E">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4ECE2A69">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5A6D5B3D">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6</w:t>
            </w:r>
          </w:p>
        </w:tc>
        <w:tc>
          <w:tcPr>
            <w:tcW w:w="7117" w:type="dxa"/>
            <w:tcBorders>
              <w:top w:val="single" w:color="auto" w:sz="4" w:space="0"/>
              <w:left w:val="nil"/>
              <w:bottom w:val="single" w:color="auto" w:sz="4" w:space="0"/>
              <w:right w:val="single" w:color="auto" w:sz="4" w:space="0"/>
            </w:tcBorders>
            <w:noWrap w:val="0"/>
            <w:vAlign w:val="center"/>
          </w:tcPr>
          <w:p w14:paraId="0E7F935F">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48口光纤配线架：</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48口光纤配线架≥42台</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名称：48口光纤配线架</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安装方式:机柜内安装</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规格、参数：</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（1）灵活的连接器前面板，用来固定连接耦合器</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（2）适用于与SC/ST/LC/FC等耦合器的端接</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（3）铝合金材质，锁扣式设计，方便安装</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（4）固定式设计风格</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（5）自带48芯熔接盘，更好保护光纤端接</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（6）最大熔接芯数48芯</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（7）19"机柜式安装</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（8）符合YD/T778标准；</w:t>
            </w:r>
          </w:p>
        </w:tc>
      </w:tr>
      <w:tr w14:paraId="659CF10B">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031AF039">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342F9B76">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7</w:t>
            </w:r>
          </w:p>
        </w:tc>
        <w:tc>
          <w:tcPr>
            <w:tcW w:w="7117" w:type="dxa"/>
            <w:tcBorders>
              <w:top w:val="single" w:color="auto" w:sz="4" w:space="0"/>
              <w:left w:val="nil"/>
              <w:bottom w:val="single" w:color="auto" w:sz="4" w:space="0"/>
              <w:right w:val="single" w:color="auto" w:sz="4" w:space="0"/>
            </w:tcBorders>
            <w:noWrap w:val="0"/>
            <w:vAlign w:val="center"/>
          </w:tcPr>
          <w:p w14:paraId="347D2C25">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适配器：</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适配器≥2016个，规格、参数：</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（1）适用于与SC/LC型连接面板搭配使用</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（2）适用于单模和多模</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（3）应配对使用并安装在光纤连接面板上</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（4）采用高精度氧化锆套管</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（5）高精度机械尺寸</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（6）良好的接插能力</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（7）兼容性好</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（8）符合YD/T1272.1标准</w:t>
            </w:r>
          </w:p>
        </w:tc>
      </w:tr>
      <w:tr w14:paraId="5532BC64">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62EB92C1">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19B78F21">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8</w:t>
            </w:r>
          </w:p>
        </w:tc>
        <w:tc>
          <w:tcPr>
            <w:tcW w:w="7117" w:type="dxa"/>
            <w:tcBorders>
              <w:top w:val="single" w:color="auto" w:sz="4" w:space="0"/>
              <w:left w:val="nil"/>
              <w:bottom w:val="single" w:color="auto" w:sz="4" w:space="0"/>
              <w:right w:val="single" w:color="auto" w:sz="4" w:space="0"/>
            </w:tcBorders>
            <w:noWrap w:val="0"/>
            <w:vAlign w:val="center"/>
          </w:tcPr>
          <w:p w14:paraId="48F95514">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尾纤：</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尾纤数≥2016条，</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规格、参数:</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（1）适用于光纤熔接使用</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（2）护套均为LSZH材料，均严格通过3D测试</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（3）高质量的光缆和出厂前已经过精密处理的接头</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（4）卓越的传输特性</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（5）采用精密陶瓷插芯</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（6）符合YD/T 1258.4标准</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（7）可选长度：1m/定制</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（8）类型：单模</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（9）直径选择：2.0mm/0.9mm</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（10）固化胶采用乐泰0151无毒胶，对人体无害，绿色环保，替代了有毒的353ND环氧胶。</w:t>
            </w:r>
          </w:p>
        </w:tc>
      </w:tr>
      <w:tr w14:paraId="61F73E72">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3440E6EB">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522CD2F7">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9</w:t>
            </w:r>
          </w:p>
        </w:tc>
        <w:tc>
          <w:tcPr>
            <w:tcW w:w="7117" w:type="dxa"/>
            <w:tcBorders>
              <w:top w:val="single" w:color="auto" w:sz="4" w:space="0"/>
              <w:left w:val="nil"/>
              <w:bottom w:val="single" w:color="auto" w:sz="4" w:space="0"/>
              <w:right w:val="single" w:color="auto" w:sz="4" w:space="0"/>
            </w:tcBorders>
            <w:noWrap w:val="0"/>
            <w:vAlign w:val="center"/>
          </w:tcPr>
          <w:p w14:paraId="1F45CBB7">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光纤熔接：</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≥2016芯，单模 G.652D/G.657A 光纤热熔接，采用全自动芯层对准熔接机施工；单模熔接损耗平均值不大于 0.05dB，最大值不大于 0.10dB，95%接头不大于 0.05dB，90%接头不大于 0.03dB；含光缆开剥、纤芯清洁、端面制备、热熔接、热缩保护、盘纤收容、接头盒/终端盒安装、OTDR双向测试、标识标签及竣工资料整理。室外接头盒防护等级不低于 IP55，盘纤弯曲半径不小于 40mm，测试波长 1310nm/1550nm，验收时提供熔接记录及 OTDR测试曲线。</w:t>
            </w:r>
          </w:p>
        </w:tc>
      </w:tr>
      <w:tr w14:paraId="669ED269">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12F0E1B1">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742C775A">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10</w:t>
            </w:r>
          </w:p>
        </w:tc>
        <w:tc>
          <w:tcPr>
            <w:tcW w:w="7117" w:type="dxa"/>
            <w:tcBorders>
              <w:top w:val="single" w:color="auto" w:sz="4" w:space="0"/>
              <w:left w:val="nil"/>
              <w:bottom w:val="single" w:color="auto" w:sz="4" w:space="0"/>
              <w:right w:val="single" w:color="auto" w:sz="4" w:space="0"/>
            </w:tcBorders>
            <w:noWrap w:val="0"/>
            <w:vAlign w:val="center"/>
          </w:tcPr>
          <w:p w14:paraId="64E5EA41">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光纤测试：</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≥2016芯，光缆链路现场测试与验收，测试仪器采用福禄克 Versiv 平台及配套 CertiFiber Pro/CertiFiber Max 光损耗测试模块、OptiFiber Pro OTDR 模块、光纤端面检测仪，并生成 LinkWare 测试报告。</w:t>
            </w:r>
          </w:p>
        </w:tc>
      </w:tr>
      <w:tr w14:paraId="2948EB20">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3ECA5B2E">
            <w:pPr>
              <w:keepNext w:val="0"/>
              <w:keepLines w:val="0"/>
              <w:widowControl/>
              <w:suppressLineNumbers w:val="0"/>
              <w:jc w:val="center"/>
              <w:textAlignment w:val="center"/>
              <w:rPr>
                <w:rFonts w:hint="eastAsia" w:ascii="仿宋_GB2312" w:hAnsi="仿宋_GB2312" w:eastAsia="仿宋_GB2312" w:cs="仿宋_GB2312"/>
                <w:sz w:val="32"/>
                <w:szCs w:val="32"/>
              </w:rPr>
            </w:pPr>
            <w:r>
              <w:rPr>
                <w:rFonts w:hint="eastAsia" w:ascii="仿宋" w:hAnsi="仿宋" w:eastAsia="仿宋" w:cs="仿宋"/>
                <w:i w:val="0"/>
                <w:iCs w:val="0"/>
                <w:color w:val="000000"/>
                <w:kern w:val="0"/>
                <w:sz w:val="24"/>
                <w:szCs w:val="24"/>
                <w:u w:val="none"/>
                <w:lang w:val="en-US" w:eastAsia="zh-CN" w:bidi="ar"/>
              </w:rPr>
              <w:t>★</w:t>
            </w:r>
          </w:p>
        </w:tc>
        <w:tc>
          <w:tcPr>
            <w:tcW w:w="950" w:type="dxa"/>
            <w:tcBorders>
              <w:top w:val="single" w:color="auto" w:sz="4" w:space="0"/>
              <w:left w:val="nil"/>
              <w:bottom w:val="single" w:color="auto" w:sz="4" w:space="0"/>
              <w:right w:val="single" w:color="auto" w:sz="4" w:space="0"/>
            </w:tcBorders>
            <w:noWrap w:val="0"/>
            <w:vAlign w:val="center"/>
          </w:tcPr>
          <w:p w14:paraId="73744766">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11</w:t>
            </w:r>
          </w:p>
        </w:tc>
        <w:tc>
          <w:tcPr>
            <w:tcW w:w="7117" w:type="dxa"/>
            <w:tcBorders>
              <w:top w:val="single" w:color="auto" w:sz="4" w:space="0"/>
              <w:left w:val="nil"/>
              <w:bottom w:val="single" w:color="auto" w:sz="4" w:space="0"/>
              <w:right w:val="single" w:color="auto" w:sz="4" w:space="0"/>
            </w:tcBorders>
            <w:noWrap w:val="0"/>
            <w:vAlign w:val="center"/>
          </w:tcPr>
          <w:p w14:paraId="417E8D55">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线路摸排：</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项，对全院现有所有室外飞线光缆、消防控制电缆、网线、信号线开展全覆盖逐条摸排勘测。对每一条线路明确走向、起止点位、用途属性、运行状态，统一标识、登记造册、建立台账，实现全院线路底数清晰、来路明确、去向可查、责任可溯，为后续规整、迁改、割接、拆除施工提供精准依据。提供实施承诺函。</w:t>
            </w:r>
          </w:p>
        </w:tc>
      </w:tr>
      <w:tr w14:paraId="546C1BAA">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6B6A61ED">
            <w:pPr>
              <w:keepNext w:val="0"/>
              <w:keepLines w:val="0"/>
              <w:widowControl/>
              <w:suppressLineNumbers w:val="0"/>
              <w:jc w:val="center"/>
              <w:textAlignment w:val="center"/>
              <w:rPr>
                <w:rFonts w:hint="eastAsia" w:ascii="仿宋_GB2312" w:hAnsi="仿宋_GB2312" w:eastAsia="仿宋_GB2312" w:cs="仿宋_GB2312"/>
                <w:sz w:val="32"/>
                <w:szCs w:val="32"/>
              </w:rPr>
            </w:pPr>
            <w:r>
              <w:rPr>
                <w:rFonts w:hint="eastAsia" w:ascii="仿宋" w:hAnsi="仿宋" w:eastAsia="仿宋" w:cs="仿宋"/>
                <w:i w:val="0"/>
                <w:iCs w:val="0"/>
                <w:color w:val="000000"/>
                <w:kern w:val="0"/>
                <w:sz w:val="24"/>
                <w:szCs w:val="24"/>
                <w:u w:val="none"/>
                <w:lang w:val="en-US" w:eastAsia="zh-CN" w:bidi="ar"/>
              </w:rPr>
              <w:t>★</w:t>
            </w:r>
          </w:p>
        </w:tc>
        <w:tc>
          <w:tcPr>
            <w:tcW w:w="950" w:type="dxa"/>
            <w:tcBorders>
              <w:top w:val="single" w:color="auto" w:sz="4" w:space="0"/>
              <w:left w:val="nil"/>
              <w:bottom w:val="single" w:color="auto" w:sz="4" w:space="0"/>
              <w:right w:val="single" w:color="auto" w:sz="4" w:space="0"/>
            </w:tcBorders>
            <w:noWrap w:val="0"/>
            <w:vAlign w:val="center"/>
          </w:tcPr>
          <w:p w14:paraId="4BE21714">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12</w:t>
            </w:r>
          </w:p>
        </w:tc>
        <w:tc>
          <w:tcPr>
            <w:tcW w:w="7117" w:type="dxa"/>
            <w:tcBorders>
              <w:top w:val="single" w:color="auto" w:sz="4" w:space="0"/>
              <w:left w:val="nil"/>
              <w:bottom w:val="single" w:color="auto" w:sz="4" w:space="0"/>
              <w:right w:val="single" w:color="auto" w:sz="4" w:space="0"/>
            </w:tcBorders>
            <w:noWrap w:val="0"/>
            <w:vAlign w:val="center"/>
          </w:tcPr>
          <w:p w14:paraId="46B1BCA9">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业务割接：</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项，制定平滑割接方案，保障全院网络、安防业务零中断完成新旧系统切换，割接窗口期与业务保护：涉及业务割接、系统切换作业，优先安排夜间、周末等非诊疗高峰窗口期实施；割接前必须完成链路测试、制定回退方案，出现异常立即回滚恢复业务，最大限度降低对医院诊疗、安防、消防系统的影响。提供实施承诺函。</w:t>
            </w:r>
          </w:p>
        </w:tc>
      </w:tr>
      <w:tr w14:paraId="6BC52782">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2FD3472D">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1193DC0C">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13</w:t>
            </w:r>
          </w:p>
        </w:tc>
        <w:tc>
          <w:tcPr>
            <w:tcW w:w="7117" w:type="dxa"/>
            <w:tcBorders>
              <w:top w:val="single" w:color="auto" w:sz="4" w:space="0"/>
              <w:left w:val="nil"/>
              <w:bottom w:val="single" w:color="auto" w:sz="4" w:space="0"/>
              <w:right w:val="single" w:color="auto" w:sz="4" w:space="0"/>
            </w:tcBorders>
            <w:noWrap w:val="0"/>
            <w:vAlign w:val="center"/>
          </w:tcPr>
          <w:p w14:paraId="63728797">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LC-LC光纤跳线3米：</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≥350条，规格、参数：单芯单模LC-LC</w:t>
            </w:r>
          </w:p>
        </w:tc>
      </w:tr>
      <w:tr w14:paraId="06D803B9">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2A883932">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4286A6D4">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14</w:t>
            </w:r>
          </w:p>
        </w:tc>
        <w:tc>
          <w:tcPr>
            <w:tcW w:w="7117" w:type="dxa"/>
            <w:tcBorders>
              <w:top w:val="single" w:color="auto" w:sz="4" w:space="0"/>
              <w:left w:val="nil"/>
              <w:bottom w:val="single" w:color="auto" w:sz="4" w:space="0"/>
              <w:right w:val="single" w:color="auto" w:sz="4" w:space="0"/>
            </w:tcBorders>
            <w:noWrap w:val="0"/>
            <w:vAlign w:val="center"/>
          </w:tcPr>
          <w:p w14:paraId="41754CC4">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千兆单模光模块：</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≥100个，规格、参数：光模块-单模模块-(1310nm,10km,LC)，满足设计图纸及验收规范规定施工所需的一切工序</w:t>
            </w:r>
          </w:p>
        </w:tc>
      </w:tr>
      <w:tr w14:paraId="7CA47AFD">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5D0632B5">
            <w:pPr>
              <w:jc w:val="center"/>
              <w:rPr>
                <w:rFonts w:hint="eastAsia" w:ascii="仿宋_GB2312" w:hAnsi="仿宋_GB2312" w:eastAsia="仿宋_GB2312" w:cs="仿宋_GB2312"/>
                <w:sz w:val="32"/>
                <w:szCs w:val="32"/>
              </w:rPr>
            </w:pPr>
          </w:p>
        </w:tc>
        <w:tc>
          <w:tcPr>
            <w:tcW w:w="8067" w:type="dxa"/>
            <w:gridSpan w:val="2"/>
            <w:tcBorders>
              <w:top w:val="single" w:color="auto" w:sz="4" w:space="0"/>
              <w:left w:val="nil"/>
              <w:bottom w:val="single" w:color="auto" w:sz="4" w:space="0"/>
              <w:right w:val="single" w:color="auto" w:sz="4" w:space="0"/>
            </w:tcBorders>
            <w:noWrap w:val="0"/>
            <w:vAlign w:val="center"/>
          </w:tcPr>
          <w:p w14:paraId="7BB023B9">
            <w:pPr>
              <w:keepNext w:val="0"/>
              <w:keepLines w:val="0"/>
              <w:widowControl/>
              <w:suppressLineNumbers w:val="0"/>
              <w:jc w:val="center"/>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b/>
                <w:bCs/>
                <w:i w:val="0"/>
                <w:iCs w:val="0"/>
                <w:color w:val="000000"/>
                <w:kern w:val="0"/>
                <w:sz w:val="28"/>
                <w:szCs w:val="28"/>
                <w:u w:val="none"/>
                <w:lang w:val="en-US" w:eastAsia="zh-CN" w:bidi="ar"/>
              </w:rPr>
              <w:t>四、工程施工及辅材部分</w:t>
            </w:r>
          </w:p>
        </w:tc>
      </w:tr>
      <w:tr w14:paraId="5ACAFA8D">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76F8BD27">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6B5678E3">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7117" w:type="dxa"/>
            <w:tcBorders>
              <w:top w:val="single" w:color="auto" w:sz="4" w:space="0"/>
              <w:left w:val="nil"/>
              <w:bottom w:val="single" w:color="auto" w:sz="4" w:space="0"/>
              <w:right w:val="single" w:color="auto" w:sz="4" w:space="0"/>
            </w:tcBorders>
            <w:noWrap w:val="0"/>
            <w:vAlign w:val="center"/>
          </w:tcPr>
          <w:p w14:paraId="4115D610">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沥青路面切割破除：</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≥112.5㎡，沥青路面切割破除：含放线、切割、破除、基层清理、废料装车及5km以内运输弃置，切割线顺直，破除范围按设计或现场签证确定。</w:t>
            </w:r>
          </w:p>
        </w:tc>
      </w:tr>
      <w:tr w14:paraId="6EE00B3B">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4EDC3960">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55E44FA5">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7117" w:type="dxa"/>
            <w:tcBorders>
              <w:top w:val="single" w:color="auto" w:sz="4" w:space="0"/>
              <w:left w:val="nil"/>
              <w:bottom w:val="single" w:color="auto" w:sz="4" w:space="0"/>
              <w:right w:val="single" w:color="auto" w:sz="4" w:space="0"/>
            </w:tcBorders>
            <w:noWrap w:val="0"/>
            <w:vAlign w:val="center"/>
          </w:tcPr>
          <w:p w14:paraId="32104A61">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铺装砖拆除及保护：</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≥108㎡，含铺装砖拆除、结合层处理、可利用砖块分类码放及成品保护，废料清运至场内指定地点；保护性拆除应控制破损率。</w:t>
            </w:r>
          </w:p>
        </w:tc>
      </w:tr>
      <w:tr w14:paraId="5A75771C">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6BFE352D">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14EB47E7">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3</w:t>
            </w:r>
          </w:p>
        </w:tc>
        <w:tc>
          <w:tcPr>
            <w:tcW w:w="7117" w:type="dxa"/>
            <w:tcBorders>
              <w:top w:val="single" w:color="auto" w:sz="4" w:space="0"/>
              <w:left w:val="nil"/>
              <w:bottom w:val="single" w:color="auto" w:sz="4" w:space="0"/>
              <w:right w:val="single" w:color="auto" w:sz="4" w:space="0"/>
            </w:tcBorders>
            <w:noWrap w:val="0"/>
            <w:vAlign w:val="center"/>
          </w:tcPr>
          <w:p w14:paraId="28AE9022">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C25混凝土基层：</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≥20m</w:t>
            </w:r>
            <w:r>
              <w:rPr>
                <w:rFonts w:hint="eastAsia" w:ascii="宋体" w:hAnsi="宋体" w:eastAsia="宋体" w:cs="宋体"/>
                <w:i w:val="0"/>
                <w:iCs w:val="0"/>
                <w:color w:val="000000"/>
                <w:kern w:val="0"/>
                <w:sz w:val="24"/>
                <w:szCs w:val="24"/>
                <w:u w:val="none"/>
                <w:lang w:val="en-US" w:eastAsia="zh-CN" w:bidi="ar"/>
              </w:rPr>
              <w:t>³</w:t>
            </w:r>
            <w:r>
              <w:rPr>
                <w:rFonts w:hint="eastAsia" w:ascii="仿宋" w:hAnsi="仿宋" w:eastAsia="仿宋" w:cs="仿宋"/>
                <w:i w:val="0"/>
                <w:iCs w:val="0"/>
                <w:color w:val="000000"/>
                <w:kern w:val="0"/>
                <w:sz w:val="24"/>
                <w:szCs w:val="24"/>
                <w:u w:val="none"/>
                <w:lang w:val="en-US" w:eastAsia="zh-CN" w:bidi="ar"/>
              </w:rPr>
              <w:t>，厚20cm，振捣密实，养护7天 ，车行道基层，强度达标后方可铺面</w:t>
            </w:r>
          </w:p>
        </w:tc>
      </w:tr>
      <w:tr w14:paraId="33D7AE99">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092250F7">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01B6C0DE">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4</w:t>
            </w:r>
          </w:p>
        </w:tc>
        <w:tc>
          <w:tcPr>
            <w:tcW w:w="7117" w:type="dxa"/>
            <w:tcBorders>
              <w:top w:val="single" w:color="auto" w:sz="4" w:space="0"/>
              <w:left w:val="nil"/>
              <w:bottom w:val="single" w:color="auto" w:sz="4" w:space="0"/>
              <w:right w:val="single" w:color="auto" w:sz="4" w:space="0"/>
            </w:tcBorders>
            <w:noWrap w:val="0"/>
            <w:vAlign w:val="center"/>
          </w:tcPr>
          <w:p w14:paraId="62899CF3">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C25混凝土包封：</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≥63m</w:t>
            </w:r>
            <w:r>
              <w:rPr>
                <w:rFonts w:hint="eastAsia" w:ascii="宋体" w:hAnsi="宋体" w:eastAsia="宋体" w:cs="宋体"/>
                <w:i w:val="0"/>
                <w:iCs w:val="0"/>
                <w:color w:val="000000"/>
                <w:kern w:val="0"/>
                <w:sz w:val="24"/>
                <w:szCs w:val="24"/>
                <w:u w:val="none"/>
                <w:lang w:val="en-US" w:eastAsia="zh-CN" w:bidi="ar"/>
              </w:rPr>
              <w:t>³</w:t>
            </w:r>
            <w:r>
              <w:rPr>
                <w:rFonts w:hint="eastAsia" w:ascii="仿宋" w:hAnsi="仿宋" w:eastAsia="仿宋" w:cs="仿宋"/>
                <w:i w:val="0"/>
                <w:iCs w:val="0"/>
                <w:color w:val="000000"/>
                <w:kern w:val="0"/>
                <w:sz w:val="24"/>
                <w:szCs w:val="24"/>
                <w:u w:val="none"/>
                <w:lang w:val="en-US" w:eastAsia="zh-CN" w:bidi="ar"/>
              </w:rPr>
              <w:t>，模板工程：采用定型钢模板或厚度不小于 15mm 的胶合板，模板需垂直、平整、加固牢靠，且高度需超出管顶 30cm 以上，确保包封厚度达标。</w:t>
            </w:r>
          </w:p>
        </w:tc>
      </w:tr>
      <w:tr w14:paraId="6CC125FE">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633AFC82">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34A34B0C">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7117" w:type="dxa"/>
            <w:tcBorders>
              <w:top w:val="single" w:color="auto" w:sz="4" w:space="0"/>
              <w:left w:val="nil"/>
              <w:bottom w:val="single" w:color="auto" w:sz="4" w:space="0"/>
              <w:right w:val="single" w:color="auto" w:sz="4" w:space="0"/>
            </w:tcBorders>
            <w:noWrap w:val="0"/>
            <w:vAlign w:val="center"/>
          </w:tcPr>
          <w:p w14:paraId="365CDE38">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分层对称浇筑：混凝土必须分层浇筑，每层厚度不宜超过 300mm。下料时应从管道两侧同时对称进行，防止单侧受压导致管道偏位。</w:t>
            </w:r>
          </w:p>
        </w:tc>
      </w:tr>
      <w:tr w14:paraId="5E863996">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0C04FE96">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567F9126">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6</w:t>
            </w:r>
          </w:p>
        </w:tc>
        <w:tc>
          <w:tcPr>
            <w:tcW w:w="7117" w:type="dxa"/>
            <w:tcBorders>
              <w:top w:val="single" w:color="auto" w:sz="4" w:space="0"/>
              <w:left w:val="nil"/>
              <w:bottom w:val="single" w:color="auto" w:sz="4" w:space="0"/>
              <w:right w:val="single" w:color="auto" w:sz="4" w:space="0"/>
            </w:tcBorders>
            <w:noWrap w:val="0"/>
            <w:vAlign w:val="center"/>
          </w:tcPr>
          <w:p w14:paraId="6C2492B0">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振捣要求：使用插入式振捣棒振捣密实，但振捣棒严禁直接接触管材，应保持至少 100mm 的安全距离，重点加强管底及接口处的振捣</w:t>
            </w:r>
          </w:p>
        </w:tc>
      </w:tr>
      <w:tr w14:paraId="6E8B2BE0">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35389D33">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2F54428A">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7</w:t>
            </w:r>
          </w:p>
        </w:tc>
        <w:tc>
          <w:tcPr>
            <w:tcW w:w="7117" w:type="dxa"/>
            <w:tcBorders>
              <w:top w:val="single" w:color="auto" w:sz="4" w:space="0"/>
              <w:left w:val="nil"/>
              <w:bottom w:val="single" w:color="auto" w:sz="4" w:space="0"/>
              <w:right w:val="single" w:color="auto" w:sz="4" w:space="0"/>
            </w:tcBorders>
            <w:noWrap w:val="0"/>
            <w:vAlign w:val="center"/>
          </w:tcPr>
          <w:p w14:paraId="458D5309">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沥青面层恢复 ：≥112.5㎡，AC-13细粒式，厚5cm，机械摊铺压实 ，与原路面接茬平顺，无明显高差</w:t>
            </w:r>
          </w:p>
        </w:tc>
      </w:tr>
      <w:tr w14:paraId="5D86A139">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16A459BF">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111177D8">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8</w:t>
            </w:r>
          </w:p>
        </w:tc>
        <w:tc>
          <w:tcPr>
            <w:tcW w:w="7117" w:type="dxa"/>
            <w:tcBorders>
              <w:top w:val="single" w:color="auto" w:sz="4" w:space="0"/>
              <w:left w:val="nil"/>
              <w:bottom w:val="single" w:color="auto" w:sz="4" w:space="0"/>
              <w:right w:val="single" w:color="auto" w:sz="4" w:space="0"/>
            </w:tcBorders>
            <w:noWrap w:val="0"/>
            <w:vAlign w:val="center"/>
          </w:tcPr>
          <w:p w14:paraId="4A4885F5">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绿化带恢复 ：≥35㎡，种植土回填+草皮/灌木补种 ，与原绿化品种一致，成活率≥95%</w:t>
            </w:r>
          </w:p>
        </w:tc>
      </w:tr>
      <w:tr w14:paraId="3CE8DA16">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748696F5">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4100359A">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9</w:t>
            </w:r>
          </w:p>
        </w:tc>
        <w:tc>
          <w:tcPr>
            <w:tcW w:w="7117" w:type="dxa"/>
            <w:tcBorders>
              <w:top w:val="single" w:color="auto" w:sz="4" w:space="0"/>
              <w:left w:val="nil"/>
              <w:bottom w:val="single" w:color="auto" w:sz="4" w:space="0"/>
              <w:right w:val="single" w:color="auto" w:sz="4" w:space="0"/>
            </w:tcBorders>
            <w:noWrap w:val="0"/>
            <w:vAlign w:val="center"/>
          </w:tcPr>
          <w:p w14:paraId="595707BB">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9铺装砖复原 ：≥108㎡，原砖回铺+新砖补配，砂浆坐浆 ，图案对齐，勾缝饱满</w:t>
            </w:r>
          </w:p>
        </w:tc>
      </w:tr>
      <w:tr w14:paraId="1DEAABAE">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19A29AF7">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27258191">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10</w:t>
            </w:r>
          </w:p>
        </w:tc>
        <w:tc>
          <w:tcPr>
            <w:tcW w:w="7117" w:type="dxa"/>
            <w:tcBorders>
              <w:top w:val="single" w:color="auto" w:sz="4" w:space="0"/>
              <w:left w:val="nil"/>
              <w:bottom w:val="single" w:color="auto" w:sz="4" w:space="0"/>
              <w:right w:val="single" w:color="auto" w:sz="4" w:space="0"/>
            </w:tcBorders>
            <w:noWrap w:val="0"/>
            <w:vAlign w:val="center"/>
          </w:tcPr>
          <w:p w14:paraId="0DFA6DFE">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旧管网拆除：≥1项，对原住院楼西侧埋深较浅、已阻塞的废旧管网进行拆除。施工前对管内既有电缆、光缆及通信线缆等进行标识、测试和保护，先将线缆临时割接并迁移至一侧安全位置，采取防水、防压、防磨损等临时保护措施。待新管网建设完成后，将线缆按规范重新敷设至新管网内，完成测试、标识、封堵及现场恢复，确保不影响既有系统正常运行，并通过验收。</w:t>
            </w:r>
          </w:p>
        </w:tc>
      </w:tr>
      <w:tr w14:paraId="25FAC8CF">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4E3F0692">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1061248C">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11</w:t>
            </w:r>
          </w:p>
        </w:tc>
        <w:tc>
          <w:tcPr>
            <w:tcW w:w="7117" w:type="dxa"/>
            <w:tcBorders>
              <w:top w:val="single" w:color="auto" w:sz="4" w:space="0"/>
              <w:left w:val="nil"/>
              <w:bottom w:val="single" w:color="auto" w:sz="4" w:space="0"/>
              <w:right w:val="single" w:color="auto" w:sz="4" w:space="0"/>
            </w:tcBorders>
            <w:noWrap w:val="0"/>
            <w:vAlign w:val="center"/>
          </w:tcPr>
          <w:p w14:paraId="3FC4F097">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沟槽开挖 ：≥270m</w:t>
            </w:r>
            <w:r>
              <w:rPr>
                <w:rFonts w:hint="eastAsia" w:ascii="宋体" w:hAnsi="宋体" w:eastAsia="宋体" w:cs="宋体"/>
                <w:i w:val="0"/>
                <w:iCs w:val="0"/>
                <w:color w:val="000000"/>
                <w:kern w:val="0"/>
                <w:sz w:val="24"/>
                <w:szCs w:val="24"/>
                <w:u w:val="none"/>
                <w:lang w:val="en-US" w:eastAsia="zh-CN" w:bidi="ar"/>
              </w:rPr>
              <w:t>³</w:t>
            </w:r>
            <w:r>
              <w:rPr>
                <w:rFonts w:hint="eastAsia" w:ascii="仿宋" w:hAnsi="仿宋" w:eastAsia="仿宋" w:cs="仿宋"/>
                <w:i w:val="0"/>
                <w:iCs w:val="0"/>
                <w:color w:val="000000"/>
                <w:kern w:val="0"/>
                <w:sz w:val="24"/>
                <w:szCs w:val="24"/>
                <w:u w:val="none"/>
                <w:lang w:val="en-US" w:eastAsia="zh-CN" w:bidi="ar"/>
              </w:rPr>
              <w:t>，三类土，深度1.5m宽度1.2米，狭窄区域作业 ，避开既有管线，机械和人工探坑配合。</w:t>
            </w:r>
          </w:p>
        </w:tc>
      </w:tr>
      <w:tr w14:paraId="4519A5FA">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0191D2FC">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0F9CB1EB">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12</w:t>
            </w:r>
          </w:p>
        </w:tc>
        <w:tc>
          <w:tcPr>
            <w:tcW w:w="7117" w:type="dxa"/>
            <w:tcBorders>
              <w:top w:val="single" w:color="auto" w:sz="4" w:space="0"/>
              <w:left w:val="nil"/>
              <w:bottom w:val="single" w:color="auto" w:sz="4" w:space="0"/>
              <w:right w:val="single" w:color="auto" w:sz="4" w:space="0"/>
            </w:tcBorders>
            <w:noWrap w:val="0"/>
            <w:vAlign w:val="center"/>
          </w:tcPr>
          <w:p w14:paraId="67B19FF6">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余方外运：≥100m</w:t>
            </w:r>
            <w:r>
              <w:rPr>
                <w:rFonts w:hint="eastAsia" w:ascii="宋体" w:hAnsi="宋体" w:eastAsia="宋体" w:cs="宋体"/>
                <w:i w:val="0"/>
                <w:iCs w:val="0"/>
                <w:color w:val="000000"/>
                <w:kern w:val="0"/>
                <w:sz w:val="24"/>
                <w:szCs w:val="24"/>
                <w:u w:val="none"/>
                <w:lang w:val="en-US" w:eastAsia="zh-CN" w:bidi="ar"/>
              </w:rPr>
              <w:t>³</w:t>
            </w:r>
            <w:r>
              <w:rPr>
                <w:rFonts w:hint="eastAsia" w:ascii="仿宋" w:hAnsi="仿宋" w:eastAsia="仿宋" w:cs="仿宋"/>
                <w:i w:val="0"/>
                <w:iCs w:val="0"/>
                <w:color w:val="000000"/>
                <w:kern w:val="0"/>
                <w:sz w:val="24"/>
                <w:szCs w:val="24"/>
                <w:u w:val="none"/>
                <w:lang w:val="en-US" w:eastAsia="zh-CN" w:bidi="ar"/>
              </w:rPr>
              <w:t>，废弃土方装车、运输、消纳，运距按现场实际核定</w:t>
            </w:r>
          </w:p>
        </w:tc>
      </w:tr>
      <w:tr w14:paraId="07FDA8A6">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72D6468E">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7FB1C11B">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13</w:t>
            </w:r>
          </w:p>
        </w:tc>
        <w:tc>
          <w:tcPr>
            <w:tcW w:w="7117" w:type="dxa"/>
            <w:tcBorders>
              <w:top w:val="single" w:color="auto" w:sz="4" w:space="0"/>
              <w:left w:val="nil"/>
              <w:bottom w:val="single" w:color="auto" w:sz="4" w:space="0"/>
              <w:right w:val="single" w:color="auto" w:sz="4" w:space="0"/>
            </w:tcBorders>
            <w:noWrap w:val="0"/>
            <w:vAlign w:val="center"/>
          </w:tcPr>
          <w:p w14:paraId="5D3731E0">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钢板临时覆盖 ：≥10块/天，20mm防滑钢板，含固定及警示标识 ，保障院内车辆行人全天候通行</w:t>
            </w:r>
          </w:p>
        </w:tc>
      </w:tr>
      <w:tr w14:paraId="647A7B4C">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53197DF1">
            <w:pP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772CDEB5">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14</w:t>
            </w:r>
          </w:p>
        </w:tc>
        <w:tc>
          <w:tcPr>
            <w:tcW w:w="7117" w:type="dxa"/>
            <w:tcBorders>
              <w:top w:val="single" w:color="auto" w:sz="4" w:space="0"/>
              <w:left w:val="nil"/>
              <w:bottom w:val="single" w:color="auto" w:sz="4" w:space="0"/>
              <w:right w:val="single" w:color="auto" w:sz="4" w:space="0"/>
            </w:tcBorders>
            <w:noWrap w:val="0"/>
            <w:vAlign w:val="center"/>
          </w:tcPr>
          <w:p w14:paraId="31DDF0B4">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入户穿墙套管：</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≥20套，</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(1)规格形式：L型弯头一体热镀锌套管，总展开尺寸1.5m×2.5m；一端直段长1.5m，另一段直段长2.5m，转角90°。</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(2)公称直径：DN50，Q235B热浸镀锌焊接钢管，外径Φ60.3mm，壁厚≥3.5mm。</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(3)表面处理：内外整体热浸镀锌，镀层均匀完整，无漏镀、起皮、鼓包；镀锌层厚度≥85μm。切割、焊接破损位置需现场补防腐。</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(4)止水环：穿墙段设置止水环；止水环钢板厚度≥5mm，环宽≥50mm，与套管满焊，焊缝打磨并做防腐修补。</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(5)加工要求：90°转角圆滑过渡，无瘪管、变形；管口打磨平整、去除毛刺；整根L型套管直线度达标，无扭曲。</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(6)安装密封：套管与内穿管道间隙采用油麻填实+防水密封膏柔性封堵，严禁水泥砂浆硬封堵；预埋固定牢靠，标高、位置准确。</w:t>
            </w:r>
          </w:p>
        </w:tc>
      </w:tr>
      <w:tr w14:paraId="4F403B4A">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11E7EFDC">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4779E27A">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15</w:t>
            </w:r>
          </w:p>
        </w:tc>
        <w:tc>
          <w:tcPr>
            <w:tcW w:w="7117" w:type="dxa"/>
            <w:tcBorders>
              <w:top w:val="single" w:color="auto" w:sz="4" w:space="0"/>
              <w:left w:val="nil"/>
              <w:bottom w:val="single" w:color="auto" w:sz="4" w:space="0"/>
              <w:right w:val="single" w:color="auto" w:sz="4" w:space="0"/>
            </w:tcBorders>
            <w:noWrap w:val="0"/>
            <w:vAlign w:val="center"/>
          </w:tcPr>
          <w:p w14:paraId="7E293EFC">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DN50 热浸锌钢管室外管网：≥140米，钢管外径 60.3mm，壁厚 3.5mm，材质 Q235B，执行 GB/T 3091-2025、GB/T 13912 标准，热浸锌镀锌层平均厚度≥65μm，室外埋地环境镀锌层重量宜≥500g/m</w:t>
            </w:r>
            <w:r>
              <w:rPr>
                <w:rFonts w:hint="eastAsia" w:ascii="宋体" w:hAnsi="宋体" w:eastAsia="宋体" w:cs="宋体"/>
                <w:i w:val="0"/>
                <w:iCs w:val="0"/>
                <w:color w:val="000000"/>
                <w:kern w:val="0"/>
                <w:sz w:val="24"/>
                <w:szCs w:val="24"/>
                <w:u w:val="none"/>
                <w:lang w:val="en-US" w:eastAsia="zh-CN" w:bidi="ar"/>
              </w:rPr>
              <w:t>²</w:t>
            </w:r>
            <w:r>
              <w:rPr>
                <w:rFonts w:hint="eastAsia" w:ascii="仿宋" w:hAnsi="仿宋" w:eastAsia="仿宋" w:cs="仿宋"/>
                <w:i w:val="0"/>
                <w:iCs w:val="0"/>
                <w:color w:val="000000"/>
                <w:kern w:val="0"/>
                <w:sz w:val="24"/>
                <w:szCs w:val="24"/>
                <w:u w:val="none"/>
                <w:lang w:val="en-US" w:eastAsia="zh-CN" w:bidi="ar"/>
              </w:rPr>
              <w:t>；含管道敷设、螺纹连接、支吊架安装、埋地管道二次防腐、明装管道二次防腐、镀锌层破损补口、水压试验、冲洗、回填夯实、标识及验收。管道埋深按设计及当地冻土深度确定，一般不小于 1.0m，穿越车行道不小于 1.2m。</w:t>
            </w:r>
          </w:p>
        </w:tc>
      </w:tr>
      <w:tr w14:paraId="269DA5E7">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7FFA61D4">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2B683344">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16</w:t>
            </w:r>
          </w:p>
        </w:tc>
        <w:tc>
          <w:tcPr>
            <w:tcW w:w="7117" w:type="dxa"/>
            <w:tcBorders>
              <w:top w:val="single" w:color="auto" w:sz="4" w:space="0"/>
              <w:left w:val="nil"/>
              <w:bottom w:val="single" w:color="auto" w:sz="4" w:space="0"/>
              <w:right w:val="single" w:color="auto" w:sz="4" w:space="0"/>
            </w:tcBorders>
            <w:noWrap w:val="0"/>
            <w:vAlign w:val="center"/>
          </w:tcPr>
          <w:p w14:paraId="409A4120">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HDPE 七孔梅花管：≥840米，采用 HDPE 七孔梅花管，外径 110mm，单孔内径不小于 32mm，壁厚不小于 2.0mm，环刚度不小于 8kN/m</w:t>
            </w:r>
            <w:r>
              <w:rPr>
                <w:rFonts w:hint="eastAsia" w:ascii="宋体" w:hAnsi="宋体" w:eastAsia="宋体" w:cs="宋体"/>
                <w:i w:val="0"/>
                <w:iCs w:val="0"/>
                <w:color w:val="000000"/>
                <w:kern w:val="0"/>
                <w:sz w:val="24"/>
                <w:szCs w:val="24"/>
                <w:u w:val="none"/>
                <w:lang w:val="en-US" w:eastAsia="zh-CN" w:bidi="ar"/>
              </w:rPr>
              <w:t>²</w:t>
            </w:r>
            <w:r>
              <w:rPr>
                <w:rFonts w:hint="eastAsia" w:ascii="仿宋" w:hAnsi="仿宋" w:eastAsia="仿宋" w:cs="仿宋"/>
                <w:i w:val="0"/>
                <w:iCs w:val="0"/>
                <w:color w:val="000000"/>
                <w:kern w:val="0"/>
                <w:sz w:val="24"/>
                <w:szCs w:val="24"/>
                <w:u w:val="none"/>
                <w:lang w:val="en-US" w:eastAsia="zh-CN" w:bidi="ar"/>
              </w:rPr>
              <w:t>，拉伸强度不小于 18MPa，执行 YD/T 841.5-2016、GB/T 50374-2018 等现行标准；含管道敷设、承插连接、人孔井预留及管塞封堵、通棒试验、分层回填夯实、车行道段混凝土包封、标识及验收。寒冷地区应采用耐低温 HDPE 材质，埋深按当地冻土深度及设计要求确定。</w:t>
            </w:r>
          </w:p>
        </w:tc>
      </w:tr>
      <w:tr w14:paraId="4A65FFAE">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627432C0">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1B636671">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17</w:t>
            </w:r>
          </w:p>
        </w:tc>
        <w:tc>
          <w:tcPr>
            <w:tcW w:w="7117" w:type="dxa"/>
            <w:tcBorders>
              <w:top w:val="single" w:color="auto" w:sz="4" w:space="0"/>
              <w:left w:val="nil"/>
              <w:bottom w:val="single" w:color="auto" w:sz="4" w:space="0"/>
              <w:right w:val="single" w:color="auto" w:sz="4" w:space="0"/>
            </w:tcBorders>
            <w:noWrap w:val="0"/>
            <w:vAlign w:val="center"/>
          </w:tcPr>
          <w:p w14:paraId="79F0D964">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弱电手孔井 ：≥6座，900×900×1200mm，C30现浇 ，直线段间距≤40m，转弯处、入户处必设</w:t>
            </w:r>
          </w:p>
        </w:tc>
      </w:tr>
      <w:tr w14:paraId="2AD5C154">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5141B380">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701508A4">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18</w:t>
            </w:r>
          </w:p>
        </w:tc>
        <w:tc>
          <w:tcPr>
            <w:tcW w:w="7117" w:type="dxa"/>
            <w:tcBorders>
              <w:top w:val="single" w:color="auto" w:sz="4" w:space="0"/>
              <w:left w:val="nil"/>
              <w:bottom w:val="single" w:color="auto" w:sz="4" w:space="0"/>
              <w:right w:val="single" w:color="auto" w:sz="4" w:space="0"/>
            </w:tcBorders>
            <w:noWrap w:val="0"/>
            <w:vAlign w:val="center"/>
          </w:tcPr>
          <w:p w14:paraId="2423B259">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球墨铸铁井盖：≥6套，承载等级 D400 (≥400kN)，尺寸Φ700/Φ600,井盖厚度 ≥40mm,材质要求 球墨铸铁 QT500-7,配置专用工具开启的防盗锁扣</w:t>
            </w:r>
          </w:p>
        </w:tc>
      </w:tr>
      <w:tr w14:paraId="690375AC">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04494324">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7810DF61">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19</w:t>
            </w:r>
          </w:p>
        </w:tc>
        <w:tc>
          <w:tcPr>
            <w:tcW w:w="7117" w:type="dxa"/>
            <w:tcBorders>
              <w:top w:val="single" w:color="auto" w:sz="4" w:space="0"/>
              <w:left w:val="nil"/>
              <w:bottom w:val="single" w:color="auto" w:sz="4" w:space="0"/>
              <w:right w:val="single" w:color="auto" w:sz="4" w:space="0"/>
            </w:tcBorders>
            <w:noWrap w:val="0"/>
            <w:vAlign w:val="center"/>
          </w:tcPr>
          <w:p w14:paraId="0707F239">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安全围挡 :≥200米,2.0m高装配式彩钢板，含防溢座 ，施工区域全封闭</w:t>
            </w:r>
          </w:p>
        </w:tc>
      </w:tr>
      <w:tr w14:paraId="1DE915B6">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41AB6663">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2F8CBF36">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20</w:t>
            </w:r>
          </w:p>
        </w:tc>
        <w:tc>
          <w:tcPr>
            <w:tcW w:w="7117" w:type="dxa"/>
            <w:tcBorders>
              <w:top w:val="single" w:color="auto" w:sz="4" w:space="0"/>
              <w:left w:val="nil"/>
              <w:bottom w:val="single" w:color="auto" w:sz="4" w:space="0"/>
              <w:right w:val="single" w:color="auto" w:sz="4" w:space="0"/>
            </w:tcBorders>
            <w:noWrap w:val="0"/>
            <w:vAlign w:val="center"/>
          </w:tcPr>
          <w:p w14:paraId="1BF3F4C0">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高空作业车租赁 :≥15台班,曲臂式/剪叉式，含操作员 ，室外高架桥架安装专用，</w:t>
            </w:r>
            <w:r>
              <w:rPr>
                <w:rFonts w:hint="eastAsia" w:ascii="仿宋" w:hAnsi="仿宋" w:eastAsia="仿宋" w:cs="仿宋"/>
                <w:i w:val="0"/>
                <w:iCs w:val="0"/>
                <w:color w:val="auto"/>
                <w:kern w:val="0"/>
                <w:sz w:val="24"/>
                <w:szCs w:val="24"/>
                <w:u w:val="none"/>
                <w:lang w:val="en-US" w:eastAsia="zh-CN" w:bidi="ar"/>
              </w:rPr>
              <w:t>操作员要求持有高空作业证。</w:t>
            </w:r>
          </w:p>
        </w:tc>
      </w:tr>
      <w:tr w14:paraId="39A472B0">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78B981C7">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0356EFB4">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21</w:t>
            </w:r>
          </w:p>
        </w:tc>
        <w:tc>
          <w:tcPr>
            <w:tcW w:w="7117" w:type="dxa"/>
            <w:tcBorders>
              <w:top w:val="single" w:color="auto" w:sz="4" w:space="0"/>
              <w:left w:val="nil"/>
              <w:bottom w:val="single" w:color="auto" w:sz="4" w:space="0"/>
              <w:right w:val="single" w:color="auto" w:sz="4" w:space="0"/>
            </w:tcBorders>
            <w:noWrap w:val="0"/>
            <w:vAlign w:val="center"/>
          </w:tcPr>
          <w:p w14:paraId="48EAE578">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原有飞线拆除:≥10000米，废弃线缆及建筑垃圾处置：拆除产生的旧线缆、废料、建筑垃圾须分类清运、合规消纳，不得在院区随意堆放、丢弃；提供清运处置记录作为竣工资料一部分。拆除旧线缆坚持 “先确认在用链路、后拆除” 原则，严禁误拆在用业务线缆。</w:t>
            </w:r>
          </w:p>
        </w:tc>
      </w:tr>
      <w:tr w14:paraId="41802E68">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64520FD9">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60B076D2">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22</w:t>
            </w:r>
          </w:p>
        </w:tc>
        <w:tc>
          <w:tcPr>
            <w:tcW w:w="7117" w:type="dxa"/>
            <w:tcBorders>
              <w:top w:val="single" w:color="auto" w:sz="4" w:space="0"/>
              <w:left w:val="nil"/>
              <w:bottom w:val="single" w:color="auto" w:sz="4" w:space="0"/>
              <w:right w:val="single" w:color="auto" w:sz="4" w:space="0"/>
            </w:tcBorders>
            <w:noWrap w:val="0"/>
            <w:vAlign w:val="center"/>
          </w:tcPr>
          <w:p w14:paraId="7FB63BE5">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水转打孔：≥40个，室内外桥架/管路导通需墙面水转打孔，孔径84mm</w:t>
            </w:r>
          </w:p>
        </w:tc>
      </w:tr>
      <w:tr w14:paraId="7BC10A97">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5E8E0748">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601DC8C3">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23</w:t>
            </w:r>
          </w:p>
        </w:tc>
        <w:tc>
          <w:tcPr>
            <w:tcW w:w="7117" w:type="dxa"/>
            <w:tcBorders>
              <w:top w:val="single" w:color="auto" w:sz="4" w:space="0"/>
              <w:left w:val="nil"/>
              <w:bottom w:val="single" w:color="auto" w:sz="4" w:space="0"/>
              <w:right w:val="single" w:color="auto" w:sz="4" w:space="0"/>
            </w:tcBorders>
            <w:noWrap w:val="0"/>
            <w:vAlign w:val="center"/>
          </w:tcPr>
          <w:p w14:paraId="21277E87">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成品保护 ：≥1项，院感及病区施工管理：病区、手术室、ICU、检验等重点区域施工，投标人须编制院感防护专项措施；施工采取防尘、降噪、防污染措施；施工垃圾每日清理，不得在病区堆放；动火、登高、吊顶内作业必须执行医院内部审批流程，未经审批不得开展作业。施工不得污染医疗环境、医疗设备，对现场造成污染、损坏须无偿修复赔偿.</w:t>
            </w:r>
          </w:p>
        </w:tc>
      </w:tr>
      <w:tr w14:paraId="3BCEAFCC">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15A2A4F9">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5B07A7F3">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24</w:t>
            </w:r>
          </w:p>
        </w:tc>
        <w:tc>
          <w:tcPr>
            <w:tcW w:w="7117" w:type="dxa"/>
            <w:tcBorders>
              <w:top w:val="single" w:color="auto" w:sz="4" w:space="0"/>
              <w:left w:val="nil"/>
              <w:bottom w:val="single" w:color="auto" w:sz="4" w:space="0"/>
              <w:right w:val="single" w:color="auto" w:sz="4" w:space="0"/>
            </w:tcBorders>
            <w:noWrap w:val="0"/>
            <w:vAlign w:val="center"/>
          </w:tcPr>
          <w:p w14:paraId="20916C33">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脚手架/登高措施：≥1项，室内吊顶内作业（层高&gt;3.6m）</w:t>
            </w:r>
          </w:p>
        </w:tc>
      </w:tr>
      <w:tr w14:paraId="350FA236">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605E90EE">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680F5DE0">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25</w:t>
            </w:r>
          </w:p>
        </w:tc>
        <w:tc>
          <w:tcPr>
            <w:tcW w:w="7117" w:type="dxa"/>
            <w:tcBorders>
              <w:top w:val="single" w:color="auto" w:sz="4" w:space="0"/>
              <w:left w:val="nil"/>
              <w:bottom w:val="single" w:color="auto" w:sz="4" w:space="0"/>
              <w:right w:val="single" w:color="auto" w:sz="4" w:space="0"/>
            </w:tcBorders>
            <w:noWrap w:val="0"/>
            <w:vAlign w:val="center"/>
          </w:tcPr>
          <w:p w14:paraId="48514B0F">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系统调试：≥1项，安防平台一体化调试、多控电缆测试 ,软件调试和线路测试</w:t>
            </w:r>
          </w:p>
        </w:tc>
      </w:tr>
      <w:tr w14:paraId="5E1EB149">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7C716E94">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1FDBD3E4">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26</w:t>
            </w:r>
          </w:p>
        </w:tc>
        <w:tc>
          <w:tcPr>
            <w:tcW w:w="7117" w:type="dxa"/>
            <w:tcBorders>
              <w:top w:val="single" w:color="auto" w:sz="4" w:space="0"/>
              <w:left w:val="nil"/>
              <w:bottom w:val="single" w:color="auto" w:sz="4" w:space="0"/>
              <w:right w:val="single" w:color="auto" w:sz="4" w:space="0"/>
            </w:tcBorders>
            <w:noWrap w:val="0"/>
            <w:vAlign w:val="center"/>
          </w:tcPr>
          <w:p w14:paraId="2D6706AB">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夜间施工：≥1项，医院环境特殊，产生噪音作业必须夜间进行</w:t>
            </w:r>
          </w:p>
        </w:tc>
      </w:tr>
      <w:tr w14:paraId="6EC43535">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1B4A2C2B">
            <w:pPr>
              <w:keepNext w:val="0"/>
              <w:keepLines w:val="0"/>
              <w:widowControl/>
              <w:suppressLineNumbers w:val="0"/>
              <w:jc w:val="center"/>
              <w:textAlignment w:val="center"/>
              <w:rPr>
                <w:rFonts w:hint="eastAsia" w:ascii="仿宋_GB2312" w:hAnsi="仿宋_GB2312" w:eastAsia="仿宋_GB2312" w:cs="仿宋_GB2312"/>
                <w:sz w:val="32"/>
                <w:szCs w:val="32"/>
              </w:rPr>
            </w:pPr>
            <w:r>
              <w:rPr>
                <w:rFonts w:hint="eastAsia" w:ascii="仿宋" w:hAnsi="仿宋" w:eastAsia="仿宋" w:cs="仿宋"/>
                <w:i w:val="0"/>
                <w:iCs w:val="0"/>
                <w:color w:val="000000"/>
                <w:kern w:val="0"/>
                <w:sz w:val="24"/>
                <w:szCs w:val="24"/>
                <w:u w:val="none"/>
                <w:lang w:val="en-US" w:eastAsia="zh-CN" w:bidi="ar"/>
              </w:rPr>
              <w:t>★</w:t>
            </w:r>
          </w:p>
        </w:tc>
        <w:tc>
          <w:tcPr>
            <w:tcW w:w="950" w:type="dxa"/>
            <w:tcBorders>
              <w:top w:val="single" w:color="auto" w:sz="4" w:space="0"/>
              <w:left w:val="nil"/>
              <w:bottom w:val="single" w:color="auto" w:sz="4" w:space="0"/>
              <w:right w:val="single" w:color="auto" w:sz="4" w:space="0"/>
            </w:tcBorders>
            <w:noWrap w:val="0"/>
            <w:vAlign w:val="center"/>
          </w:tcPr>
          <w:p w14:paraId="15EE6932">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27</w:t>
            </w:r>
          </w:p>
        </w:tc>
        <w:tc>
          <w:tcPr>
            <w:tcW w:w="7117" w:type="dxa"/>
            <w:tcBorders>
              <w:top w:val="single" w:color="auto" w:sz="4" w:space="0"/>
              <w:left w:val="nil"/>
              <w:bottom w:val="single" w:color="auto" w:sz="4" w:space="0"/>
              <w:right w:val="single" w:color="auto" w:sz="4" w:space="0"/>
            </w:tcBorders>
            <w:noWrap w:val="0"/>
            <w:vAlign w:val="center"/>
          </w:tcPr>
          <w:p w14:paraId="1DEE12E6">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室外防雨防火桥架：≥ 260米，200×100 采购及安装：采用封闭式槽式防火桥架，规格 200×100mm，基材 Q235B 冷轧钢板，槽体板厚不小于 1.5mm，盖板板厚不小于 1.2mm；表面热浸锌+防火耐候涂层处理，室外环境热浸锌层平均厚度不小于 65μm，高腐蚀及冻融明显区域宜不小于 80μm；耐火极限按设计确定，常规不低于 60min，重要消防回路宜 90～120min，并提供现行有效耐火型式检验报告；配防雨盖板、防水胶条、泄水孔、连接件、接地跨接件；含测量放线、支吊架制作安装、桥架敷设、防雨盖板安装、伸缩节及补偿装置设置、穿墙穿楼板防火封堵、接地测试及验收。提供产品厂商规格说明或者承诺函。</w:t>
            </w:r>
          </w:p>
        </w:tc>
      </w:tr>
      <w:tr w14:paraId="028E897E">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53823C9F">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3A724CE2">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28</w:t>
            </w:r>
          </w:p>
        </w:tc>
        <w:tc>
          <w:tcPr>
            <w:tcW w:w="7117" w:type="dxa"/>
            <w:tcBorders>
              <w:top w:val="single" w:color="auto" w:sz="4" w:space="0"/>
              <w:left w:val="nil"/>
              <w:bottom w:val="single" w:color="auto" w:sz="4" w:space="0"/>
              <w:right w:val="single" w:color="auto" w:sz="4" w:space="0"/>
            </w:tcBorders>
            <w:noWrap w:val="0"/>
            <w:vAlign w:val="center"/>
          </w:tcPr>
          <w:p w14:paraId="365F491E">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防雨盖板专用卡扣 ：≥520套，配套200×100桥架，不锈钢/镀锌材质 ，确保密封严密，抗风揭</w:t>
            </w:r>
          </w:p>
        </w:tc>
      </w:tr>
      <w:tr w14:paraId="5302007D">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6721983D">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058CFFEE">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29</w:t>
            </w:r>
          </w:p>
        </w:tc>
        <w:tc>
          <w:tcPr>
            <w:tcW w:w="7117" w:type="dxa"/>
            <w:tcBorders>
              <w:top w:val="single" w:color="auto" w:sz="4" w:space="0"/>
              <w:left w:val="nil"/>
              <w:bottom w:val="single" w:color="auto" w:sz="4" w:space="0"/>
              <w:right w:val="single" w:color="auto" w:sz="4" w:space="0"/>
            </w:tcBorders>
            <w:noWrap w:val="0"/>
            <w:vAlign w:val="center"/>
          </w:tcPr>
          <w:p w14:paraId="44795077">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混凝土预制底座：≥50个，C30混凝土预制件，含橡胶减震垫 ，严禁破坏屋面防水层</w:t>
            </w:r>
          </w:p>
        </w:tc>
      </w:tr>
      <w:tr w14:paraId="6C0BA572">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0DD0990D">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232F57C3">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30</w:t>
            </w:r>
          </w:p>
        </w:tc>
        <w:tc>
          <w:tcPr>
            <w:tcW w:w="7117" w:type="dxa"/>
            <w:tcBorders>
              <w:top w:val="single" w:color="auto" w:sz="4" w:space="0"/>
              <w:left w:val="nil"/>
              <w:bottom w:val="single" w:color="auto" w:sz="4" w:space="0"/>
              <w:right w:val="single" w:color="auto" w:sz="4" w:space="0"/>
            </w:tcBorders>
            <w:noWrap w:val="0"/>
            <w:vAlign w:val="center"/>
          </w:tcPr>
          <w:p w14:paraId="533048B7">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屋面水平支架 ：≥80套，热镀锌角钢/槽钢，适配预制底座 ，与底座螺栓连接，不焊接</w:t>
            </w:r>
          </w:p>
        </w:tc>
      </w:tr>
      <w:tr w14:paraId="46818D12">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1E0F418C">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5B4B0698">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31</w:t>
            </w:r>
          </w:p>
        </w:tc>
        <w:tc>
          <w:tcPr>
            <w:tcW w:w="7117" w:type="dxa"/>
            <w:tcBorders>
              <w:top w:val="single" w:color="auto" w:sz="4" w:space="0"/>
              <w:left w:val="nil"/>
              <w:bottom w:val="single" w:color="auto" w:sz="4" w:space="0"/>
              <w:right w:val="single" w:color="auto" w:sz="4" w:space="0"/>
            </w:tcBorders>
            <w:noWrap w:val="0"/>
            <w:vAlign w:val="center"/>
          </w:tcPr>
          <w:p w14:paraId="32C62636">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室内防火桥架 ：≥450米，200×100 室内防火桥架采购及安装：采用封闭式槽式防火桥架，规格 200×100mm，基材 Q235 冷轧钢板，板材厚度1.4mm，表面热浸镀锌/喷塑/防火包覆处理，耐火极限不低于设计要求；配套盖板、连接件、接地跨接件及防火封堵组件。单价包含桥架采购、运输、装卸、支吊架制作安装、桥架敷设、接地跨接、穿墙穿楼板防火封堵、标识及验收。产品须提供 CCC 证书、耐火型式检验报告及防腐检测报告。</w:t>
            </w:r>
          </w:p>
        </w:tc>
      </w:tr>
      <w:tr w14:paraId="6C716FB7">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0BD3D281">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6E47F6BE">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32</w:t>
            </w:r>
          </w:p>
        </w:tc>
        <w:tc>
          <w:tcPr>
            <w:tcW w:w="7117" w:type="dxa"/>
            <w:tcBorders>
              <w:top w:val="single" w:color="auto" w:sz="4" w:space="0"/>
              <w:left w:val="nil"/>
              <w:bottom w:val="single" w:color="auto" w:sz="4" w:space="0"/>
              <w:right w:val="single" w:color="auto" w:sz="4" w:space="0"/>
            </w:tcBorders>
            <w:noWrap w:val="0"/>
            <w:vAlign w:val="center"/>
          </w:tcPr>
          <w:p w14:paraId="41CC09D4">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吊顶拆除与恢复：≥290㎡，吊顶保护性拆除及原样复原：对石膏板、铝扣板、硅酸钙板吊顶实施保护性拆除，含灯具、风口、喷淋、烟感等附属设施临时拆除与保护；拆除后对原有龙骨系统进行检查、加固、调平、防锈处理，必要时更换吊杆及连接件；按原标高、原排布、原饰面效果复原吊顶，完成石膏板嵌缝防裂、腻子涂料恢复，铝扣板、硅酸钙板复位及板缝处理，并与墙面、风口、灯具、检修口等完成饰面收口。含垃圾清运、防尘降噪及验收。按平方米计量，综合包含拆除、加固、复原、收口及验收等全部费用。</w:t>
            </w:r>
          </w:p>
        </w:tc>
      </w:tr>
      <w:tr w14:paraId="47CDF92F">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263869B3">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336DD681">
            <w:pPr>
              <w:keepNext w:val="0"/>
              <w:keepLines w:val="0"/>
              <w:widowControl/>
              <w:suppressLineNumbers w:val="0"/>
              <w:jc w:val="center"/>
              <w:textAlignment w:val="center"/>
              <w:rPr>
                <w:rFonts w:hint="default" w:ascii="仿宋_GB2312" w:hAnsi="仿宋_GB2312" w:eastAsia="仿宋_GB2312" w:cs="仿宋_GB2312"/>
                <w:sz w:val="32"/>
                <w:szCs w:val="32"/>
                <w:lang w:val="en-US" w:eastAsia="zh-CN"/>
              </w:rPr>
            </w:pPr>
            <w:r>
              <w:rPr>
                <w:rFonts w:hint="eastAsia" w:ascii="仿宋" w:hAnsi="仿宋" w:eastAsia="仿宋" w:cs="仿宋"/>
                <w:i w:val="0"/>
                <w:iCs w:val="0"/>
                <w:color w:val="000000"/>
                <w:kern w:val="0"/>
                <w:sz w:val="24"/>
                <w:szCs w:val="24"/>
                <w:u w:val="none"/>
                <w:lang w:val="en-US" w:eastAsia="zh-CN" w:bidi="ar"/>
              </w:rPr>
              <w:t>33</w:t>
            </w:r>
          </w:p>
        </w:tc>
        <w:tc>
          <w:tcPr>
            <w:tcW w:w="7117" w:type="dxa"/>
            <w:tcBorders>
              <w:top w:val="single" w:color="auto" w:sz="4" w:space="0"/>
              <w:left w:val="nil"/>
              <w:bottom w:val="single" w:color="auto" w:sz="4" w:space="0"/>
              <w:right w:val="single" w:color="auto" w:sz="4" w:space="0"/>
            </w:tcBorders>
            <w:noWrap w:val="0"/>
            <w:vAlign w:val="center"/>
          </w:tcPr>
          <w:p w14:paraId="2C0B6063">
            <w:pPr>
              <w:keepNext w:val="0"/>
              <w:keepLines w:val="0"/>
              <w:widowControl/>
              <w:suppressLineNumbers w:val="0"/>
              <w:jc w:val="left"/>
              <w:textAlignment w:val="center"/>
              <w:rPr>
                <w:rFonts w:hint="eastAsia" w:ascii="仿宋_GB2312" w:hAnsi="仿宋_GB2312" w:eastAsia="仿宋_GB2312" w:cs="仿宋_GB2312"/>
                <w:sz w:val="28"/>
                <w:szCs w:val="28"/>
                <w:lang w:val="en-US" w:eastAsia="zh-CN"/>
              </w:rPr>
            </w:pPr>
            <w:r>
              <w:rPr>
                <w:rFonts w:hint="eastAsia" w:ascii="仿宋" w:hAnsi="仿宋" w:eastAsia="仿宋" w:cs="仿宋"/>
                <w:i w:val="0"/>
                <w:iCs w:val="0"/>
                <w:color w:val="000000"/>
                <w:kern w:val="0"/>
                <w:sz w:val="24"/>
                <w:szCs w:val="24"/>
                <w:u w:val="none"/>
                <w:lang w:val="en-US" w:eastAsia="zh-CN" w:bidi="ar"/>
              </w:rPr>
              <w:t>专用检修口：≥15个，吊顶检查口安装：含定位放线、龙骨“井”字形加固、成品铝合金/镀锌钢框检查口安装、盖板制作安装、铰链及锁具配置、防坠装置、边框与饰面板接缝防裂处理、密封胶收口、饰面恢复及验收。石膏板吊顶检查口规格按设计确定，常规不小于450×450mm；上人检查口不小于600×600mm；设备专用检查口按设备外廓每侧增加200mm。潮湿区域应采用耐腐蚀边框并做好防水密封。</w:t>
            </w:r>
          </w:p>
        </w:tc>
      </w:tr>
      <w:tr w14:paraId="7F06116B">
        <w:tblPrEx>
          <w:tblCellMar>
            <w:top w:w="0" w:type="dxa"/>
            <w:left w:w="108" w:type="dxa"/>
            <w:bottom w:w="0" w:type="dxa"/>
            <w:right w:w="108" w:type="dxa"/>
          </w:tblCellMar>
        </w:tblPrEx>
        <w:trPr>
          <w:trHeight w:val="838"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14:paraId="7B7B929D">
            <w:pPr>
              <w:jc w:val="center"/>
              <w:rPr>
                <w:rFonts w:hint="eastAsia" w:ascii="仿宋_GB2312" w:hAnsi="仿宋_GB2312" w:eastAsia="仿宋_GB2312" w:cs="仿宋_GB2312"/>
                <w:sz w:val="32"/>
                <w:szCs w:val="32"/>
              </w:rPr>
            </w:pPr>
          </w:p>
        </w:tc>
        <w:tc>
          <w:tcPr>
            <w:tcW w:w="950" w:type="dxa"/>
            <w:tcBorders>
              <w:top w:val="single" w:color="auto" w:sz="4" w:space="0"/>
              <w:left w:val="nil"/>
              <w:bottom w:val="single" w:color="auto" w:sz="4" w:space="0"/>
              <w:right w:val="single" w:color="auto" w:sz="4" w:space="0"/>
            </w:tcBorders>
            <w:noWrap w:val="0"/>
            <w:vAlign w:val="center"/>
          </w:tcPr>
          <w:p w14:paraId="5FF92B1D">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34</w:t>
            </w:r>
          </w:p>
        </w:tc>
        <w:tc>
          <w:tcPr>
            <w:tcW w:w="7117" w:type="dxa"/>
            <w:tcBorders>
              <w:top w:val="single" w:color="auto" w:sz="4" w:space="0"/>
              <w:left w:val="nil"/>
              <w:bottom w:val="single" w:color="auto" w:sz="4" w:space="0"/>
              <w:right w:val="single" w:color="auto" w:sz="4" w:space="0"/>
            </w:tcBorders>
            <w:noWrap w:val="0"/>
            <w:vAlign w:val="center"/>
          </w:tcPr>
          <w:p w14:paraId="5698DA01">
            <w:pPr>
              <w:keepNext w:val="0"/>
              <w:keepLines w:val="0"/>
              <w:widowControl/>
              <w:suppressLineNumbers w:val="0"/>
              <w:jc w:val="left"/>
              <w:textAlignment w:val="center"/>
              <w:rPr>
                <w:rFonts w:hint="default" w:ascii="仿宋" w:hAnsi="宋体" w:eastAsia="仿宋" w:cs="宋体"/>
                <w:color w:val="auto"/>
                <w:sz w:val="24"/>
                <w:szCs w:val="24"/>
                <w:lang w:val="en-US" w:eastAsia="zh-CN"/>
              </w:rPr>
            </w:pPr>
            <w:r>
              <w:rPr>
                <w:rFonts w:hint="eastAsia" w:ascii="仿宋" w:hAnsi="宋体" w:eastAsia="仿宋" w:cs="宋体"/>
                <w:color w:val="auto"/>
                <w:sz w:val="24"/>
                <w:szCs w:val="24"/>
                <w:lang w:val="en-US" w:eastAsia="zh-CN"/>
              </w:rPr>
              <w:t>工程施工总体要求：</w:t>
            </w:r>
          </w:p>
          <w:p w14:paraId="3C3650EC">
            <w:pPr>
              <w:keepNext w:val="0"/>
              <w:keepLines w:val="0"/>
              <w:widowControl/>
              <w:suppressLineNumbers w:val="0"/>
              <w:jc w:val="left"/>
              <w:textAlignment w:val="center"/>
              <w:rPr>
                <w:rFonts w:hint="eastAsia" w:ascii="仿宋" w:hAnsi="仿宋" w:eastAsia="仿宋" w:cs="仿宋"/>
                <w:i w:val="0"/>
                <w:iCs w:val="0"/>
                <w:color w:val="000000"/>
                <w:kern w:val="0"/>
                <w:sz w:val="24"/>
                <w:szCs w:val="24"/>
                <w:u w:val="none"/>
                <w:lang w:val="en-US" w:eastAsia="zh-CN" w:bidi="ar"/>
              </w:rPr>
            </w:pPr>
            <w:r>
              <w:rPr>
                <w:rFonts w:ascii="仿宋" w:hAnsi="宋体" w:eastAsia="仿宋" w:cs="宋体"/>
                <w:color w:val="auto"/>
                <w:kern w:val="0"/>
                <w:sz w:val="24"/>
                <w:szCs w:val="24"/>
                <w:lang w:val="en-US" w:eastAsia="zh-CN" w:bidi="ar"/>
              </w:rPr>
              <w:t>包含沥青路面切割破除与恢复、铺装砖拆除保护与复原、管沟沟槽开挖与分层回填、余方外运、施工区域钢板临时覆盖、成品保护等全部配套工序。</w:t>
            </w:r>
            <w:r>
              <w:rPr>
                <w:rFonts w:ascii="仿宋" w:hAnsi="宋体" w:eastAsia="仿宋" w:cs="宋体"/>
                <w:color w:val="auto"/>
                <w:sz w:val="24"/>
                <w:szCs w:val="24"/>
              </w:rPr>
              <w:t>贯通各单体建筑汇聚机房至</w:t>
            </w:r>
            <w:r>
              <w:rPr>
                <w:rFonts w:hint="eastAsia" w:ascii="仿宋" w:hAnsi="宋体" w:eastAsia="仿宋" w:cs="宋体"/>
                <w:color w:val="auto"/>
                <w:sz w:val="24"/>
                <w:szCs w:val="24"/>
                <w:lang w:eastAsia="zh-CN"/>
              </w:rPr>
              <w:t>东住院</w:t>
            </w:r>
            <w:r>
              <w:rPr>
                <w:rFonts w:ascii="仿宋" w:hAnsi="宋体" w:eastAsia="仿宋" w:cs="宋体"/>
                <w:color w:val="auto"/>
                <w:sz w:val="24"/>
                <w:szCs w:val="24"/>
              </w:rPr>
              <w:t>楼</w:t>
            </w:r>
            <w:r>
              <w:rPr>
                <w:rFonts w:hint="eastAsia" w:ascii="仿宋" w:hAnsi="宋体" w:eastAsia="仿宋" w:cs="宋体"/>
                <w:color w:val="auto"/>
                <w:sz w:val="24"/>
                <w:szCs w:val="24"/>
                <w:lang w:eastAsia="zh-CN"/>
              </w:rPr>
              <w:t>四</w:t>
            </w:r>
            <w:r>
              <w:rPr>
                <w:rFonts w:ascii="仿宋" w:hAnsi="宋体" w:eastAsia="仿宋" w:cs="宋体"/>
                <w:color w:val="auto"/>
                <w:sz w:val="24"/>
                <w:szCs w:val="24"/>
              </w:rPr>
              <w:t>层核心机房的物理传输链路</w:t>
            </w:r>
            <w:r>
              <w:rPr>
                <w:rFonts w:hint="eastAsia" w:ascii="仿宋" w:hAnsi="宋体" w:eastAsia="仿宋" w:cs="宋体"/>
                <w:color w:val="auto"/>
                <w:sz w:val="24"/>
                <w:szCs w:val="24"/>
                <w:lang w:eastAsia="zh-CN"/>
              </w:rPr>
              <w:t>，</w:t>
            </w:r>
            <w:r>
              <w:rPr>
                <w:rFonts w:ascii="仿宋" w:hAnsi="宋体" w:eastAsia="仿宋" w:cs="宋体"/>
                <w:color w:val="auto"/>
                <w:sz w:val="24"/>
                <w:szCs w:val="24"/>
              </w:rPr>
              <w:t>全线</w:t>
            </w:r>
            <w:r>
              <w:rPr>
                <w:rFonts w:hint="eastAsia" w:ascii="仿宋" w:hAnsi="宋体" w:eastAsia="仿宋" w:cs="宋体"/>
                <w:color w:val="auto"/>
                <w:sz w:val="24"/>
                <w:szCs w:val="24"/>
                <w:lang w:eastAsia="zh-CN"/>
              </w:rPr>
              <w:t>户外开槽需</w:t>
            </w:r>
            <w:r>
              <w:rPr>
                <w:rFonts w:ascii="仿宋" w:hAnsi="宋体" w:eastAsia="仿宋" w:cs="宋体"/>
                <w:color w:val="auto"/>
                <w:sz w:val="24"/>
                <w:szCs w:val="24"/>
              </w:rPr>
              <w:t>采用C25混凝土全包封防护施工，有效增强管线抗碾压、抗沉降、抗外力扰动能力，确保院区通信管网结构稳固、长期安全稳定运行</w:t>
            </w:r>
            <w:r>
              <w:rPr>
                <w:rFonts w:hint="eastAsia" w:ascii="仿宋" w:hAnsi="宋体" w:eastAsia="仿宋" w:cs="宋体"/>
                <w:color w:val="auto"/>
                <w:sz w:val="24"/>
                <w:szCs w:val="24"/>
                <w:lang w:eastAsia="zh-CN"/>
              </w:rPr>
              <w:t>。</w:t>
            </w:r>
          </w:p>
        </w:tc>
      </w:tr>
    </w:tbl>
    <w:p w14:paraId="28BBE535">
      <w:pPr>
        <w:numPr>
          <w:ilvl w:val="0"/>
          <w:numId w:val="0"/>
        </w:numPr>
        <w:spacing w:line="360" w:lineRule="auto"/>
        <w:jc w:val="left"/>
        <w:rPr>
          <w:rFonts w:hint="eastAsia" w:ascii="宋体" w:hAnsi="宋体" w:eastAsia="宋体" w:cs="宋体"/>
          <w:sz w:val="28"/>
          <w:szCs w:val="28"/>
        </w:rPr>
      </w:pPr>
    </w:p>
    <w:p w14:paraId="22F2D236">
      <w:pPr>
        <w:keepNext w:val="0"/>
        <w:keepLines w:val="0"/>
        <w:pageBreakBefore w:val="0"/>
        <w:widowControl/>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p>
    <w:p w14:paraId="177D18A1">
      <w:pPr>
        <w:keepNext w:val="0"/>
        <w:keepLines w:val="0"/>
        <w:pageBreakBefore w:val="0"/>
        <w:widowControl/>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p>
    <w:p w14:paraId="022E8BF0">
      <w:pPr>
        <w:keepNext w:val="0"/>
        <w:keepLines w:val="0"/>
        <w:pageBreakBefore w:val="0"/>
        <w:widowControl/>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p>
    <w:p w14:paraId="38D2F45B">
      <w:pPr>
        <w:keepNext w:val="0"/>
        <w:keepLines w:val="0"/>
        <w:pageBreakBefore w:val="0"/>
        <w:widowControl/>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p>
    <w:p w14:paraId="1B8F4407">
      <w:pPr>
        <w:keepNext w:val="0"/>
        <w:keepLines w:val="0"/>
        <w:pageBreakBefore w:val="0"/>
        <w:widowControl/>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p>
    <w:p w14:paraId="0ECCAAE1">
      <w:pPr>
        <w:keepNext w:val="0"/>
        <w:keepLines w:val="0"/>
        <w:pageBreakBefore w:val="0"/>
        <w:widowControl/>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p>
    <w:p w14:paraId="2C968DB9">
      <w:pPr>
        <w:keepNext w:val="0"/>
        <w:keepLines w:val="0"/>
        <w:pageBreakBefore w:val="0"/>
        <w:widowControl/>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lang w:val="en-US" w:eastAsia="zh-CN"/>
        </w:rPr>
      </w:pPr>
    </w:p>
    <w:p w14:paraId="3C232318">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sz w:val="28"/>
          <w:szCs w:val="28"/>
        </w:rPr>
      </w:pPr>
      <w:r>
        <w:rPr>
          <w:rFonts w:hint="eastAsia" w:ascii="宋体" w:hAnsi="宋体" w:eastAsia="宋体" w:cs="宋体"/>
          <w:b/>
          <w:sz w:val="28"/>
          <w:szCs w:val="28"/>
          <w:lang w:val="en-US" w:eastAsia="zh-CN"/>
        </w:rPr>
        <w:t>三、资格审查表</w:t>
      </w:r>
    </w:p>
    <w:tbl>
      <w:tblPr>
        <w:tblStyle w:val="12"/>
        <w:tblW w:w="84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7"/>
        <w:gridCol w:w="1970"/>
        <w:gridCol w:w="6030"/>
      </w:tblGrid>
      <w:tr w14:paraId="65DBA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6" w:hRule="atLeast"/>
          <w:jc w:val="center"/>
        </w:trPr>
        <w:tc>
          <w:tcPr>
            <w:tcW w:w="457" w:type="dxa"/>
            <w:vMerge w:val="restart"/>
            <w:tcBorders>
              <w:left w:val="single" w:color="auto" w:sz="4" w:space="0"/>
              <w:right w:val="single" w:color="auto" w:sz="4" w:space="0"/>
            </w:tcBorders>
            <w:vAlign w:val="center"/>
          </w:tcPr>
          <w:p w14:paraId="7F5C2C2C">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p w14:paraId="311AF116">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p w14:paraId="28D7C0F8">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p w14:paraId="27AB0B79">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p w14:paraId="796469F2">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资格性审查</w:t>
            </w:r>
          </w:p>
          <w:p w14:paraId="0481967C">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552220B7">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具有独立承担民事责任的能力</w:t>
            </w:r>
          </w:p>
        </w:tc>
        <w:tc>
          <w:tcPr>
            <w:tcW w:w="6030" w:type="dxa"/>
            <w:tcBorders>
              <w:top w:val="single" w:color="auto" w:sz="4" w:space="0"/>
              <w:left w:val="single" w:color="auto" w:sz="4" w:space="0"/>
              <w:bottom w:val="single" w:color="auto" w:sz="4" w:space="0"/>
              <w:right w:val="single" w:color="auto" w:sz="4" w:space="0"/>
            </w:tcBorders>
            <w:vAlign w:val="center"/>
          </w:tcPr>
          <w:p w14:paraId="374745FD">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审查有效的营业执照或事业单位法人证书或执业许可证或自然人的身份证明。</w:t>
            </w:r>
          </w:p>
        </w:tc>
      </w:tr>
      <w:tr w14:paraId="32130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2" w:hRule="atLeast"/>
          <w:jc w:val="center"/>
        </w:trPr>
        <w:tc>
          <w:tcPr>
            <w:tcW w:w="457" w:type="dxa"/>
            <w:vMerge w:val="continue"/>
            <w:tcBorders>
              <w:left w:val="single" w:color="auto" w:sz="4" w:space="0"/>
              <w:right w:val="single" w:color="auto" w:sz="4" w:space="0"/>
            </w:tcBorders>
            <w:vAlign w:val="center"/>
          </w:tcPr>
          <w:p w14:paraId="149302DC">
            <w:pPr>
              <w:keepNext w:val="0"/>
              <w:keepLines w:val="0"/>
              <w:suppressLineNumbers w:val="0"/>
              <w:spacing w:before="0" w:beforeAutospacing="0" w:after="0" w:afterAutospacing="0"/>
              <w:ind w:left="0" w:right="0"/>
              <w:rPr>
                <w:rFonts w:hint="eastAsia" w:ascii="宋体" w:hAnsi="宋体" w:eastAsia="宋体" w:cs="宋体"/>
              </w:rPr>
            </w:pPr>
          </w:p>
        </w:tc>
        <w:tc>
          <w:tcPr>
            <w:tcW w:w="1970" w:type="dxa"/>
            <w:tcBorders>
              <w:top w:val="single" w:color="auto" w:sz="4" w:space="0"/>
              <w:left w:val="single" w:color="auto" w:sz="4" w:space="0"/>
              <w:bottom w:val="single" w:color="auto" w:sz="4" w:space="0"/>
              <w:right w:val="single" w:color="auto" w:sz="4" w:space="0"/>
            </w:tcBorders>
            <w:vAlign w:val="center"/>
          </w:tcPr>
          <w:p w14:paraId="545D6773">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具有良好的商业信誉和健全的财务会计制度</w:t>
            </w:r>
          </w:p>
        </w:tc>
        <w:tc>
          <w:tcPr>
            <w:tcW w:w="6030" w:type="dxa"/>
            <w:tcBorders>
              <w:top w:val="single" w:color="auto" w:sz="4" w:space="0"/>
              <w:left w:val="single" w:color="auto" w:sz="4" w:space="0"/>
              <w:bottom w:val="single" w:color="auto" w:sz="4" w:space="0"/>
              <w:right w:val="single" w:color="auto" w:sz="4" w:space="0"/>
            </w:tcBorders>
            <w:vAlign w:val="center"/>
          </w:tcPr>
          <w:p w14:paraId="7AFB5BB5">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（1）审查投标人2024年或2025年度经会计事务所出具的财务审计报告；</w:t>
            </w:r>
          </w:p>
          <w:p w14:paraId="4ADF6841">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（2）审查投标人基本开户行的开户许可证（或基本存款账户信息表）及基本开户银行出具的近一年内的银行资信证明。</w:t>
            </w:r>
          </w:p>
          <w:p w14:paraId="0475C0A7">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以上两项投标人选择其中一项提供即可。</w:t>
            </w:r>
          </w:p>
        </w:tc>
      </w:tr>
      <w:tr w14:paraId="50CB4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3" w:hRule="atLeast"/>
          <w:jc w:val="center"/>
        </w:trPr>
        <w:tc>
          <w:tcPr>
            <w:tcW w:w="457" w:type="dxa"/>
            <w:vMerge w:val="continue"/>
            <w:tcBorders>
              <w:left w:val="single" w:color="auto" w:sz="4" w:space="0"/>
              <w:right w:val="single" w:color="auto" w:sz="4" w:space="0"/>
            </w:tcBorders>
            <w:vAlign w:val="center"/>
          </w:tcPr>
          <w:p w14:paraId="13EE02DF">
            <w:pPr>
              <w:keepNext w:val="0"/>
              <w:keepLines w:val="0"/>
              <w:suppressLineNumbers w:val="0"/>
              <w:spacing w:before="0" w:beforeAutospacing="0" w:after="0" w:afterAutospacing="0"/>
              <w:ind w:left="0" w:right="0"/>
              <w:rPr>
                <w:rFonts w:hint="eastAsia" w:ascii="宋体" w:hAnsi="宋体" w:eastAsia="宋体" w:cs="宋体"/>
              </w:rPr>
            </w:pPr>
          </w:p>
        </w:tc>
        <w:tc>
          <w:tcPr>
            <w:tcW w:w="1970" w:type="dxa"/>
            <w:tcBorders>
              <w:top w:val="single" w:color="auto" w:sz="4" w:space="0"/>
              <w:left w:val="single" w:color="auto" w:sz="4" w:space="0"/>
              <w:bottom w:val="single" w:color="auto" w:sz="4" w:space="0"/>
              <w:right w:val="single" w:color="auto" w:sz="4" w:space="0"/>
            </w:tcBorders>
            <w:vAlign w:val="center"/>
          </w:tcPr>
          <w:p w14:paraId="41BDA185">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有依法缴纳税收和社会保障资金的良好记录</w:t>
            </w:r>
          </w:p>
        </w:tc>
        <w:tc>
          <w:tcPr>
            <w:tcW w:w="6030" w:type="dxa"/>
            <w:tcBorders>
              <w:top w:val="single" w:color="auto" w:sz="4" w:space="0"/>
              <w:left w:val="single" w:color="auto" w:sz="4" w:space="0"/>
              <w:bottom w:val="single" w:color="auto" w:sz="4" w:space="0"/>
              <w:right w:val="single" w:color="auto" w:sz="4" w:space="0"/>
            </w:tcBorders>
            <w:vAlign w:val="center"/>
          </w:tcPr>
          <w:p w14:paraId="384E444B">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1.提供递交</w:t>
            </w: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文件截止之日前</w:t>
            </w:r>
            <w:r>
              <w:rPr>
                <w:rFonts w:hint="eastAsia" w:ascii="宋体" w:hAnsi="宋体" w:eastAsia="宋体" w:cs="宋体"/>
                <w:color w:val="auto"/>
                <w:sz w:val="21"/>
                <w:szCs w:val="21"/>
                <w:lang w:val="en-US" w:eastAsia="zh-CN"/>
              </w:rPr>
              <w:t>一年</w:t>
            </w:r>
            <w:r>
              <w:rPr>
                <w:rFonts w:hint="eastAsia" w:ascii="宋体" w:hAnsi="宋体" w:eastAsia="宋体" w:cs="宋体"/>
                <w:color w:val="auto"/>
                <w:sz w:val="21"/>
                <w:szCs w:val="21"/>
              </w:rPr>
              <w:t>内（至少一个月）的良好缴纳税收的相关凭据</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例如增值税，个人所得税等，但不包含工会经费</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。（以税务机关提供的纳税凭据或银行入账单为准）</w:t>
            </w:r>
          </w:p>
          <w:p w14:paraId="01045F23">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2.提供递交</w:t>
            </w: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文件截止之日前</w:t>
            </w:r>
            <w:r>
              <w:rPr>
                <w:rFonts w:hint="eastAsia" w:ascii="宋体" w:hAnsi="宋体" w:eastAsia="宋体" w:cs="宋体"/>
                <w:color w:val="auto"/>
                <w:sz w:val="21"/>
                <w:szCs w:val="21"/>
                <w:lang w:val="en-US" w:eastAsia="zh-CN"/>
              </w:rPr>
              <w:t>一年</w:t>
            </w:r>
            <w:r>
              <w:rPr>
                <w:rFonts w:hint="eastAsia" w:ascii="宋体" w:hAnsi="宋体" w:eastAsia="宋体" w:cs="宋体"/>
                <w:color w:val="auto"/>
                <w:sz w:val="21"/>
                <w:szCs w:val="21"/>
              </w:rPr>
              <w:t>内（至少一个月）缴纳社会保险的凭证。（以社保机构出具的专用收据或社会保险缴纳清单为准）</w:t>
            </w:r>
          </w:p>
          <w:p w14:paraId="571AE38A">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注：依法免税或不需要缴纳社会保障资金的供应商，应提供相应文件证明其依法免税或不需要缴纳社会保障资金。</w:t>
            </w:r>
          </w:p>
        </w:tc>
      </w:tr>
      <w:tr w14:paraId="43735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42" w:hRule="atLeast"/>
          <w:jc w:val="center"/>
        </w:trPr>
        <w:tc>
          <w:tcPr>
            <w:tcW w:w="457" w:type="dxa"/>
            <w:vMerge w:val="continue"/>
            <w:tcBorders>
              <w:left w:val="single" w:color="auto" w:sz="4" w:space="0"/>
              <w:right w:val="single" w:color="auto" w:sz="4" w:space="0"/>
            </w:tcBorders>
            <w:vAlign w:val="center"/>
          </w:tcPr>
          <w:p w14:paraId="29EB5BAC">
            <w:pPr>
              <w:keepNext w:val="0"/>
              <w:keepLines w:val="0"/>
              <w:suppressLineNumbers w:val="0"/>
              <w:spacing w:before="0" w:beforeAutospacing="0" w:after="0" w:afterAutospacing="0"/>
              <w:ind w:left="0" w:right="0"/>
              <w:rPr>
                <w:rFonts w:hint="eastAsia" w:ascii="宋体" w:hAnsi="宋体" w:eastAsia="宋体" w:cs="宋体"/>
              </w:rPr>
            </w:pPr>
          </w:p>
        </w:tc>
        <w:tc>
          <w:tcPr>
            <w:tcW w:w="1970" w:type="dxa"/>
            <w:tcBorders>
              <w:top w:val="single" w:color="auto" w:sz="4" w:space="0"/>
              <w:left w:val="single" w:color="auto" w:sz="4" w:space="0"/>
              <w:bottom w:val="single" w:color="auto" w:sz="4" w:space="0"/>
              <w:right w:val="single" w:color="auto" w:sz="4" w:space="0"/>
            </w:tcBorders>
            <w:vAlign w:val="center"/>
          </w:tcPr>
          <w:p w14:paraId="4EF6A2F0">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参加采购活动前3年内，在经营活动中没有重大违法记录</w:t>
            </w:r>
          </w:p>
        </w:tc>
        <w:tc>
          <w:tcPr>
            <w:tcW w:w="6030" w:type="dxa"/>
            <w:tcBorders>
              <w:top w:val="single" w:color="auto" w:sz="4" w:space="0"/>
              <w:left w:val="single" w:color="auto" w:sz="4" w:space="0"/>
              <w:bottom w:val="single" w:color="auto" w:sz="4" w:space="0"/>
              <w:right w:val="single" w:color="auto" w:sz="4" w:space="0"/>
            </w:tcBorders>
            <w:vAlign w:val="center"/>
          </w:tcPr>
          <w:p w14:paraId="6FF5D8C0">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1.审查“参加本次采购前三年内在经营活动中无重大违法记录”投标人书面声明函；</w:t>
            </w:r>
          </w:p>
          <w:p w14:paraId="66B17D34">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2.到提交</w:t>
            </w: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文件的截止时间，投标人未被列入失信被执行人、重大税收违法案件当事人名单、政府采购严重违法失信行为记录名单。（以投标人通过“信用中国”网站和“中国政府采购网”网站的</w:t>
            </w:r>
            <w:r>
              <w:rPr>
                <w:rFonts w:hint="eastAsia" w:ascii="宋体" w:hAnsi="宋体" w:eastAsia="宋体" w:cs="宋体"/>
                <w:b/>
                <w:bCs/>
                <w:color w:val="auto"/>
                <w:sz w:val="21"/>
                <w:szCs w:val="21"/>
                <w:lang w:val="en-US" w:eastAsia="zh-CN"/>
              </w:rPr>
              <w:t>以上三项</w:t>
            </w:r>
            <w:r>
              <w:rPr>
                <w:rFonts w:hint="eastAsia" w:ascii="宋体" w:hAnsi="宋体" w:eastAsia="宋体" w:cs="宋体"/>
                <w:color w:val="auto"/>
                <w:sz w:val="21"/>
                <w:szCs w:val="21"/>
              </w:rPr>
              <w:t>信用记录截图</w:t>
            </w:r>
            <w:r>
              <w:rPr>
                <w:rFonts w:hint="eastAsia" w:ascii="宋体" w:hAnsi="宋体" w:eastAsia="宋体" w:cs="宋体"/>
                <w:color w:val="auto"/>
                <w:sz w:val="21"/>
                <w:szCs w:val="21"/>
                <w:lang w:val="en-US" w:eastAsia="zh-CN"/>
              </w:rPr>
              <w:t>或</w:t>
            </w:r>
            <w:r>
              <w:rPr>
                <w:rFonts w:hint="eastAsia" w:ascii="宋体" w:hAnsi="宋体" w:eastAsia="宋体" w:cs="宋体"/>
                <w:color w:val="auto"/>
                <w:sz w:val="21"/>
                <w:szCs w:val="21"/>
              </w:rPr>
              <w:t>评标现场核实情况为准）</w:t>
            </w:r>
          </w:p>
        </w:tc>
      </w:tr>
      <w:tr w14:paraId="08F22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6" w:hRule="atLeast"/>
          <w:jc w:val="center"/>
        </w:trPr>
        <w:tc>
          <w:tcPr>
            <w:tcW w:w="457" w:type="dxa"/>
            <w:vMerge w:val="continue"/>
            <w:tcBorders>
              <w:left w:val="single" w:color="auto" w:sz="4" w:space="0"/>
              <w:right w:val="single" w:color="auto" w:sz="4" w:space="0"/>
            </w:tcBorders>
            <w:vAlign w:val="center"/>
          </w:tcPr>
          <w:p w14:paraId="5EE6CCAC">
            <w:pPr>
              <w:keepNext w:val="0"/>
              <w:keepLines w:val="0"/>
              <w:suppressLineNumbers w:val="0"/>
              <w:spacing w:before="0" w:beforeAutospacing="0" w:after="0" w:afterAutospacing="0"/>
              <w:ind w:left="0" w:right="0"/>
              <w:rPr>
                <w:rFonts w:hint="eastAsia" w:ascii="宋体" w:hAnsi="宋体" w:eastAsia="宋体" w:cs="宋体"/>
              </w:rPr>
            </w:pPr>
          </w:p>
        </w:tc>
        <w:tc>
          <w:tcPr>
            <w:tcW w:w="1970" w:type="dxa"/>
            <w:tcBorders>
              <w:top w:val="single" w:color="auto" w:sz="4" w:space="0"/>
              <w:left w:val="single" w:color="auto" w:sz="4" w:space="0"/>
              <w:bottom w:val="single" w:color="auto" w:sz="4" w:space="0"/>
              <w:right w:val="single" w:color="auto" w:sz="4" w:space="0"/>
            </w:tcBorders>
            <w:vAlign w:val="center"/>
          </w:tcPr>
          <w:p w14:paraId="06F2DEF4">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其他资质要求</w:t>
            </w:r>
          </w:p>
        </w:tc>
        <w:tc>
          <w:tcPr>
            <w:tcW w:w="6030" w:type="dxa"/>
            <w:tcBorders>
              <w:top w:val="single" w:color="auto" w:sz="4" w:space="0"/>
              <w:left w:val="single" w:color="auto" w:sz="4" w:space="0"/>
              <w:bottom w:val="single" w:color="auto" w:sz="4" w:space="0"/>
              <w:right w:val="single" w:color="auto" w:sz="4" w:space="0"/>
            </w:tcBorders>
            <w:vAlign w:val="center"/>
          </w:tcPr>
          <w:p w14:paraId="69872C37">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（如有）</w:t>
            </w:r>
          </w:p>
        </w:tc>
      </w:tr>
      <w:tr w14:paraId="2C3CD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5" w:hRule="atLeast"/>
          <w:jc w:val="center"/>
        </w:trPr>
        <w:tc>
          <w:tcPr>
            <w:tcW w:w="457" w:type="dxa"/>
            <w:vMerge w:val="continue"/>
            <w:tcBorders>
              <w:left w:val="single" w:color="auto" w:sz="4" w:space="0"/>
              <w:right w:val="single" w:color="auto" w:sz="4" w:space="0"/>
            </w:tcBorders>
            <w:vAlign w:val="center"/>
          </w:tcPr>
          <w:p w14:paraId="1CAAD2FD">
            <w:pPr>
              <w:keepNext w:val="0"/>
              <w:keepLines w:val="0"/>
              <w:suppressLineNumbers w:val="0"/>
              <w:spacing w:before="0" w:beforeAutospacing="0" w:after="0" w:afterAutospacing="0"/>
              <w:ind w:left="0" w:right="0"/>
              <w:rPr>
                <w:rFonts w:hint="eastAsia" w:ascii="宋体" w:hAnsi="宋体" w:eastAsia="宋体" w:cs="宋体"/>
              </w:rPr>
            </w:pPr>
          </w:p>
        </w:tc>
        <w:tc>
          <w:tcPr>
            <w:tcW w:w="1970" w:type="dxa"/>
            <w:tcBorders>
              <w:top w:val="single" w:color="auto" w:sz="4" w:space="0"/>
              <w:left w:val="single" w:color="auto" w:sz="4" w:space="0"/>
              <w:bottom w:val="single" w:color="auto" w:sz="4" w:space="0"/>
              <w:right w:val="single" w:color="auto" w:sz="4" w:space="0"/>
            </w:tcBorders>
            <w:vAlign w:val="center"/>
          </w:tcPr>
          <w:p w14:paraId="19EB6AC7">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投标承诺书及法人授权委托书</w:t>
            </w:r>
          </w:p>
        </w:tc>
        <w:tc>
          <w:tcPr>
            <w:tcW w:w="6030" w:type="dxa"/>
            <w:tcBorders>
              <w:top w:val="single" w:color="auto" w:sz="4" w:space="0"/>
              <w:left w:val="single" w:color="auto" w:sz="4" w:space="0"/>
              <w:bottom w:val="single" w:color="auto" w:sz="4" w:space="0"/>
              <w:right w:val="single" w:color="auto" w:sz="4" w:space="0"/>
            </w:tcBorders>
            <w:vAlign w:val="center"/>
          </w:tcPr>
          <w:p w14:paraId="649AA2D0">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符合</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文件要求。（格式、填写要求、签署、盖章、委托人身份等）</w:t>
            </w:r>
          </w:p>
        </w:tc>
      </w:tr>
      <w:tr w14:paraId="217A3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3" w:hRule="atLeast"/>
          <w:jc w:val="center"/>
        </w:trPr>
        <w:tc>
          <w:tcPr>
            <w:tcW w:w="457" w:type="dxa"/>
            <w:vMerge w:val="continue"/>
            <w:tcBorders>
              <w:left w:val="single" w:color="auto" w:sz="4" w:space="0"/>
              <w:right w:val="single" w:color="auto" w:sz="4" w:space="0"/>
            </w:tcBorders>
            <w:vAlign w:val="center"/>
          </w:tcPr>
          <w:p w14:paraId="0A4C5179">
            <w:pPr>
              <w:keepNext w:val="0"/>
              <w:keepLines w:val="0"/>
              <w:suppressLineNumbers w:val="0"/>
              <w:spacing w:before="0" w:beforeAutospacing="0" w:after="0" w:afterAutospacing="0"/>
              <w:ind w:left="0" w:right="0"/>
              <w:rPr>
                <w:rFonts w:hint="eastAsia" w:ascii="宋体" w:hAnsi="宋体" w:eastAsia="宋体" w:cs="宋体"/>
              </w:rPr>
            </w:pPr>
          </w:p>
        </w:tc>
        <w:tc>
          <w:tcPr>
            <w:tcW w:w="1970" w:type="dxa"/>
            <w:tcBorders>
              <w:top w:val="single" w:color="auto" w:sz="4" w:space="0"/>
              <w:left w:val="single" w:color="auto" w:sz="4" w:space="0"/>
              <w:bottom w:val="single" w:color="auto" w:sz="4" w:space="0"/>
              <w:right w:val="single" w:color="auto" w:sz="4" w:space="0"/>
            </w:tcBorders>
            <w:vAlign w:val="center"/>
          </w:tcPr>
          <w:p w14:paraId="5EA29C1C">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开标一览表</w:t>
            </w:r>
          </w:p>
        </w:tc>
        <w:tc>
          <w:tcPr>
            <w:tcW w:w="6030" w:type="dxa"/>
            <w:tcBorders>
              <w:top w:val="single" w:color="auto" w:sz="4" w:space="0"/>
              <w:left w:val="single" w:color="auto" w:sz="4" w:space="0"/>
              <w:bottom w:val="single" w:color="auto" w:sz="4" w:space="0"/>
              <w:right w:val="single" w:color="auto" w:sz="4" w:space="0"/>
            </w:tcBorders>
            <w:vAlign w:val="center"/>
          </w:tcPr>
          <w:p w14:paraId="191D69EE">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符合</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文件要求。（格式、填写要求、签署、盖章等）</w:t>
            </w:r>
          </w:p>
        </w:tc>
      </w:tr>
      <w:tr w14:paraId="2C34F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5" w:hRule="atLeast"/>
          <w:jc w:val="center"/>
        </w:trPr>
        <w:tc>
          <w:tcPr>
            <w:tcW w:w="457" w:type="dxa"/>
            <w:vMerge w:val="continue"/>
            <w:tcBorders>
              <w:left w:val="single" w:color="auto" w:sz="4" w:space="0"/>
              <w:right w:val="single" w:color="auto" w:sz="4" w:space="0"/>
            </w:tcBorders>
            <w:vAlign w:val="center"/>
          </w:tcPr>
          <w:p w14:paraId="124F12AE">
            <w:pPr>
              <w:keepNext w:val="0"/>
              <w:keepLines w:val="0"/>
              <w:suppressLineNumbers w:val="0"/>
              <w:spacing w:before="0" w:beforeAutospacing="0" w:after="0" w:afterAutospacing="0"/>
              <w:ind w:left="0" w:right="0"/>
              <w:rPr>
                <w:rFonts w:hint="eastAsia" w:ascii="宋体" w:hAnsi="宋体" w:eastAsia="宋体" w:cs="宋体"/>
              </w:rPr>
            </w:pPr>
          </w:p>
        </w:tc>
        <w:tc>
          <w:tcPr>
            <w:tcW w:w="1970" w:type="dxa"/>
            <w:tcBorders>
              <w:top w:val="single" w:color="auto" w:sz="4" w:space="0"/>
              <w:left w:val="single" w:color="auto" w:sz="4" w:space="0"/>
              <w:bottom w:val="single" w:color="auto" w:sz="4" w:space="0"/>
              <w:right w:val="single" w:color="auto" w:sz="4" w:space="0"/>
            </w:tcBorders>
            <w:vAlign w:val="center"/>
          </w:tcPr>
          <w:p w14:paraId="49264470">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文件规范性、符合性</w:t>
            </w:r>
          </w:p>
        </w:tc>
        <w:tc>
          <w:tcPr>
            <w:tcW w:w="6030" w:type="dxa"/>
            <w:tcBorders>
              <w:top w:val="single" w:color="auto" w:sz="4" w:space="0"/>
              <w:left w:val="single" w:color="auto" w:sz="4" w:space="0"/>
              <w:bottom w:val="single" w:color="auto" w:sz="4" w:space="0"/>
              <w:right w:val="single" w:color="auto" w:sz="4" w:space="0"/>
            </w:tcBorders>
            <w:vAlign w:val="center"/>
          </w:tcPr>
          <w:p w14:paraId="6C99188D">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文件的编制、密封、装订、签署、盖章、涂改、删除、插字、公章使用等符合</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文件要求；</w:t>
            </w: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文件的格式、文字、目录、页码等符合</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文件要求或对投标无实质性影响。</w:t>
            </w:r>
          </w:p>
        </w:tc>
      </w:tr>
      <w:tr w14:paraId="129815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9" w:hRule="atLeast"/>
          <w:jc w:val="center"/>
        </w:trPr>
        <w:tc>
          <w:tcPr>
            <w:tcW w:w="457" w:type="dxa"/>
            <w:vMerge w:val="continue"/>
            <w:tcBorders>
              <w:left w:val="single" w:color="auto" w:sz="4" w:space="0"/>
              <w:right w:val="single" w:color="auto" w:sz="4" w:space="0"/>
            </w:tcBorders>
            <w:vAlign w:val="center"/>
          </w:tcPr>
          <w:p w14:paraId="094D2466">
            <w:pPr>
              <w:keepNext w:val="0"/>
              <w:keepLines w:val="0"/>
              <w:suppressLineNumbers w:val="0"/>
              <w:spacing w:before="0" w:beforeAutospacing="0" w:after="0" w:afterAutospacing="0"/>
              <w:ind w:left="0" w:right="0"/>
              <w:rPr>
                <w:rFonts w:hint="eastAsia" w:ascii="宋体" w:hAnsi="宋体" w:eastAsia="宋体" w:cs="宋体"/>
              </w:rPr>
            </w:pPr>
          </w:p>
        </w:tc>
        <w:tc>
          <w:tcPr>
            <w:tcW w:w="1970" w:type="dxa"/>
            <w:tcBorders>
              <w:top w:val="single" w:color="auto" w:sz="4" w:space="0"/>
              <w:left w:val="single" w:color="auto" w:sz="4" w:space="0"/>
              <w:bottom w:val="single" w:color="auto" w:sz="4" w:space="0"/>
              <w:right w:val="single" w:color="auto" w:sz="4" w:space="0"/>
            </w:tcBorders>
            <w:vAlign w:val="center"/>
          </w:tcPr>
          <w:p w14:paraId="580A8D98">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主要商务条款</w:t>
            </w:r>
          </w:p>
        </w:tc>
        <w:tc>
          <w:tcPr>
            <w:tcW w:w="6030" w:type="dxa"/>
            <w:tcBorders>
              <w:top w:val="single" w:color="auto" w:sz="4" w:space="0"/>
              <w:left w:val="single" w:color="auto" w:sz="4" w:space="0"/>
              <w:bottom w:val="single" w:color="auto" w:sz="4" w:space="0"/>
              <w:right w:val="single" w:color="auto" w:sz="4" w:space="0"/>
            </w:tcBorders>
            <w:vAlign w:val="center"/>
          </w:tcPr>
          <w:p w14:paraId="0E452B0C">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满足</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文件关于交付使用时间、质保期、付款方式要求。</w:t>
            </w:r>
          </w:p>
        </w:tc>
      </w:tr>
      <w:tr w14:paraId="584C7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3" w:hRule="atLeast"/>
          <w:jc w:val="center"/>
        </w:trPr>
        <w:tc>
          <w:tcPr>
            <w:tcW w:w="457" w:type="dxa"/>
            <w:vMerge w:val="continue"/>
            <w:tcBorders>
              <w:left w:val="single" w:color="auto" w:sz="4" w:space="0"/>
              <w:right w:val="single" w:color="auto" w:sz="4" w:space="0"/>
            </w:tcBorders>
            <w:vAlign w:val="center"/>
          </w:tcPr>
          <w:p w14:paraId="2AF1E59C">
            <w:pPr>
              <w:keepNext w:val="0"/>
              <w:keepLines w:val="0"/>
              <w:suppressLineNumbers w:val="0"/>
              <w:spacing w:before="0" w:beforeAutospacing="0" w:after="0" w:afterAutospacing="0"/>
              <w:ind w:left="0" w:right="0"/>
              <w:rPr>
                <w:rFonts w:hint="eastAsia" w:ascii="宋体" w:hAnsi="宋体" w:eastAsia="宋体" w:cs="宋体"/>
              </w:rPr>
            </w:pPr>
          </w:p>
        </w:tc>
        <w:tc>
          <w:tcPr>
            <w:tcW w:w="1970" w:type="dxa"/>
            <w:tcBorders>
              <w:top w:val="single" w:color="auto" w:sz="4" w:space="0"/>
              <w:left w:val="single" w:color="auto" w:sz="4" w:space="0"/>
              <w:bottom w:val="single" w:color="auto" w:sz="4" w:space="0"/>
              <w:right w:val="single" w:color="auto" w:sz="4" w:space="0"/>
            </w:tcBorders>
            <w:vAlign w:val="center"/>
          </w:tcPr>
          <w:p w14:paraId="2D0A2F4C">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附加条件</w:t>
            </w:r>
          </w:p>
        </w:tc>
        <w:tc>
          <w:tcPr>
            <w:tcW w:w="6030" w:type="dxa"/>
            <w:tcBorders>
              <w:top w:val="single" w:color="auto" w:sz="4" w:space="0"/>
              <w:left w:val="single" w:color="auto" w:sz="4" w:space="0"/>
              <w:bottom w:val="single" w:color="auto" w:sz="4" w:space="0"/>
              <w:right w:val="single" w:color="auto" w:sz="4" w:space="0"/>
            </w:tcBorders>
            <w:vAlign w:val="center"/>
          </w:tcPr>
          <w:p w14:paraId="5CABEBDF">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响应</w:t>
            </w:r>
            <w:r>
              <w:rPr>
                <w:rFonts w:hint="eastAsia" w:ascii="宋体" w:hAnsi="宋体" w:eastAsia="宋体" w:cs="宋体"/>
                <w:color w:val="auto"/>
                <w:sz w:val="21"/>
                <w:szCs w:val="21"/>
              </w:rPr>
              <w:t>文件中不含采购人不能接受的附加条件。</w:t>
            </w:r>
          </w:p>
        </w:tc>
      </w:tr>
      <w:tr w14:paraId="16C69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457" w:type="dxa"/>
            <w:vMerge w:val="continue"/>
            <w:tcBorders>
              <w:left w:val="single" w:color="auto" w:sz="4" w:space="0"/>
              <w:right w:val="single" w:color="auto" w:sz="4" w:space="0"/>
            </w:tcBorders>
            <w:vAlign w:val="center"/>
          </w:tcPr>
          <w:p w14:paraId="39AD5C76">
            <w:pPr>
              <w:keepNext w:val="0"/>
              <w:keepLines w:val="0"/>
              <w:suppressLineNumbers w:val="0"/>
              <w:spacing w:before="0" w:beforeAutospacing="0" w:after="0" w:afterAutospacing="0"/>
              <w:ind w:left="0" w:right="0"/>
              <w:rPr>
                <w:rFonts w:hint="eastAsia" w:ascii="宋体" w:hAnsi="宋体" w:eastAsia="宋体" w:cs="宋体"/>
              </w:rPr>
            </w:pPr>
          </w:p>
        </w:tc>
        <w:tc>
          <w:tcPr>
            <w:tcW w:w="1970" w:type="dxa"/>
            <w:tcBorders>
              <w:top w:val="single" w:color="auto" w:sz="4" w:space="0"/>
              <w:left w:val="single" w:color="auto" w:sz="4" w:space="0"/>
              <w:bottom w:val="single" w:color="auto" w:sz="4" w:space="0"/>
              <w:right w:val="single" w:color="auto" w:sz="4" w:space="0"/>
            </w:tcBorders>
            <w:vAlign w:val="center"/>
          </w:tcPr>
          <w:p w14:paraId="373502EF">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联合体投标</w:t>
            </w:r>
          </w:p>
        </w:tc>
        <w:tc>
          <w:tcPr>
            <w:tcW w:w="6030" w:type="dxa"/>
            <w:tcBorders>
              <w:top w:val="single" w:color="auto" w:sz="4" w:space="0"/>
              <w:left w:val="single" w:color="auto" w:sz="4" w:space="0"/>
              <w:bottom w:val="single" w:color="auto" w:sz="4" w:space="0"/>
              <w:right w:val="single" w:color="auto" w:sz="4" w:space="0"/>
            </w:tcBorders>
            <w:vAlign w:val="center"/>
          </w:tcPr>
          <w:p w14:paraId="2DEFB7CB">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本项目不接受联合体投标。（如要求联合体投标，符合本</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文件对联合体投标的相关要求）</w:t>
            </w:r>
          </w:p>
        </w:tc>
      </w:tr>
      <w:tr w14:paraId="63753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72" w:hRule="atLeast"/>
          <w:jc w:val="center"/>
        </w:trPr>
        <w:tc>
          <w:tcPr>
            <w:tcW w:w="457" w:type="dxa"/>
            <w:vMerge w:val="continue"/>
            <w:tcBorders>
              <w:left w:val="single" w:color="auto" w:sz="4" w:space="0"/>
              <w:right w:val="single" w:color="auto" w:sz="4" w:space="0"/>
            </w:tcBorders>
            <w:vAlign w:val="center"/>
          </w:tcPr>
          <w:p w14:paraId="7F6D8B4B">
            <w:pPr>
              <w:keepNext w:val="0"/>
              <w:keepLines w:val="0"/>
              <w:suppressLineNumbers w:val="0"/>
              <w:spacing w:before="0" w:beforeAutospacing="0" w:after="0" w:afterAutospacing="0"/>
              <w:ind w:left="0" w:right="0"/>
              <w:rPr>
                <w:rFonts w:hint="eastAsia" w:ascii="宋体" w:hAnsi="宋体" w:eastAsia="宋体" w:cs="宋体"/>
              </w:rPr>
            </w:pPr>
          </w:p>
        </w:tc>
        <w:tc>
          <w:tcPr>
            <w:tcW w:w="1970" w:type="dxa"/>
            <w:vMerge w:val="restart"/>
            <w:tcBorders>
              <w:top w:val="single" w:color="auto" w:sz="4" w:space="0"/>
              <w:left w:val="single" w:color="auto" w:sz="4" w:space="0"/>
              <w:right w:val="single" w:color="auto" w:sz="4" w:space="0"/>
            </w:tcBorders>
            <w:vAlign w:val="center"/>
          </w:tcPr>
          <w:p w14:paraId="79A709DB">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技术部分实质性内容</w:t>
            </w:r>
          </w:p>
        </w:tc>
        <w:tc>
          <w:tcPr>
            <w:tcW w:w="6030" w:type="dxa"/>
            <w:tcBorders>
              <w:top w:val="single" w:color="auto" w:sz="4" w:space="0"/>
              <w:left w:val="single" w:color="auto" w:sz="4" w:space="0"/>
              <w:right w:val="single" w:color="auto" w:sz="4" w:space="0"/>
            </w:tcBorders>
            <w:vAlign w:val="center"/>
          </w:tcPr>
          <w:p w14:paraId="557B0566">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明确所投全部货物的产品品牌、型号</w:t>
            </w:r>
            <w:r>
              <w:rPr>
                <w:rFonts w:hint="eastAsia" w:ascii="宋体" w:hAnsi="宋体" w:eastAsia="宋体" w:cs="宋体"/>
                <w:color w:val="auto"/>
                <w:sz w:val="21"/>
                <w:szCs w:val="21"/>
                <w:lang w:eastAsia="zh-CN"/>
              </w:rPr>
              <w:t>。</w:t>
            </w:r>
          </w:p>
        </w:tc>
      </w:tr>
      <w:tr w14:paraId="51BA3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4" w:hRule="atLeast"/>
          <w:jc w:val="center"/>
        </w:trPr>
        <w:tc>
          <w:tcPr>
            <w:tcW w:w="457" w:type="dxa"/>
            <w:vMerge w:val="continue"/>
            <w:tcBorders>
              <w:left w:val="single" w:color="auto" w:sz="4" w:space="0"/>
              <w:right w:val="single" w:color="auto" w:sz="4" w:space="0"/>
            </w:tcBorders>
            <w:vAlign w:val="center"/>
          </w:tcPr>
          <w:p w14:paraId="65D67739">
            <w:pPr>
              <w:keepNext w:val="0"/>
              <w:keepLines w:val="0"/>
              <w:suppressLineNumbers w:val="0"/>
              <w:spacing w:before="0" w:beforeAutospacing="0" w:after="0" w:afterAutospacing="0"/>
              <w:ind w:left="0" w:right="0"/>
              <w:rPr>
                <w:rFonts w:hint="eastAsia" w:ascii="宋体" w:hAnsi="宋体" w:eastAsia="宋体" w:cs="宋体"/>
              </w:rPr>
            </w:pPr>
          </w:p>
        </w:tc>
        <w:tc>
          <w:tcPr>
            <w:tcW w:w="1970" w:type="dxa"/>
            <w:vMerge w:val="continue"/>
            <w:tcBorders>
              <w:top w:val="single" w:color="auto" w:sz="4" w:space="0"/>
              <w:left w:val="single" w:color="auto" w:sz="4" w:space="0"/>
              <w:right w:val="single" w:color="auto" w:sz="4" w:space="0"/>
            </w:tcBorders>
            <w:vAlign w:val="center"/>
          </w:tcPr>
          <w:p w14:paraId="73E8F111">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6030" w:type="dxa"/>
            <w:tcBorders>
              <w:top w:val="single" w:color="auto" w:sz="4" w:space="0"/>
              <w:left w:val="single" w:color="auto" w:sz="4" w:space="0"/>
              <w:right w:val="single" w:color="auto" w:sz="4" w:space="0"/>
            </w:tcBorders>
            <w:vAlign w:val="center"/>
          </w:tcPr>
          <w:p w14:paraId="5BDECBEC">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主要技术参数指标（加“</w:t>
            </w:r>
            <w:r>
              <w:rPr>
                <w:rFonts w:hint="eastAsia" w:ascii="宋体" w:hAnsi="宋体" w:eastAsia="宋体" w:cs="宋体"/>
                <w:color w:val="auto"/>
                <w:sz w:val="21"/>
                <w:szCs w:val="21"/>
                <w:lang w:eastAsia="zh-CN" w:bidi="lo-LA"/>
              </w:rPr>
              <w:t>★</w:t>
            </w:r>
            <w:r>
              <w:rPr>
                <w:rFonts w:hint="eastAsia" w:ascii="宋体" w:hAnsi="宋体" w:eastAsia="宋体" w:cs="宋体"/>
                <w:color w:val="auto"/>
                <w:sz w:val="21"/>
                <w:szCs w:val="21"/>
              </w:rPr>
              <w:t>”项）完全满足或优于</w:t>
            </w:r>
            <w:r>
              <w:rPr>
                <w:rFonts w:hint="eastAsia" w:ascii="宋体" w:hAnsi="宋体" w:eastAsia="宋体" w:cs="宋体"/>
                <w:color w:val="auto"/>
                <w:sz w:val="21"/>
                <w:szCs w:val="21"/>
                <w:lang w:val="en-US" w:eastAsia="zh-CN"/>
              </w:rPr>
              <w:t>招采</w:t>
            </w:r>
            <w:r>
              <w:rPr>
                <w:rFonts w:hint="eastAsia" w:ascii="宋体" w:hAnsi="宋体" w:eastAsia="宋体" w:cs="宋体"/>
                <w:color w:val="auto"/>
                <w:sz w:val="21"/>
                <w:szCs w:val="21"/>
              </w:rPr>
              <w:t>文件要求。</w:t>
            </w:r>
          </w:p>
        </w:tc>
      </w:tr>
      <w:tr w14:paraId="63811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7" w:hRule="atLeast"/>
          <w:jc w:val="center"/>
        </w:trPr>
        <w:tc>
          <w:tcPr>
            <w:tcW w:w="457" w:type="dxa"/>
            <w:vMerge w:val="continue"/>
            <w:tcBorders>
              <w:left w:val="single" w:color="auto" w:sz="4" w:space="0"/>
              <w:right w:val="single" w:color="auto" w:sz="4" w:space="0"/>
            </w:tcBorders>
            <w:vAlign w:val="center"/>
          </w:tcPr>
          <w:p w14:paraId="60E67B91">
            <w:pPr>
              <w:keepNext w:val="0"/>
              <w:keepLines w:val="0"/>
              <w:suppressLineNumbers w:val="0"/>
              <w:spacing w:before="0" w:beforeAutospacing="0" w:after="0" w:afterAutospacing="0"/>
              <w:ind w:left="0" w:right="0"/>
              <w:rPr>
                <w:rFonts w:hint="eastAsia" w:ascii="宋体" w:hAnsi="宋体" w:eastAsia="宋体" w:cs="宋体"/>
              </w:rPr>
            </w:pPr>
          </w:p>
        </w:tc>
        <w:tc>
          <w:tcPr>
            <w:tcW w:w="1970" w:type="dxa"/>
            <w:vMerge w:val="continue"/>
            <w:tcBorders>
              <w:top w:val="single" w:color="auto" w:sz="4" w:space="0"/>
              <w:left w:val="single" w:color="auto" w:sz="4" w:space="0"/>
              <w:right w:val="single" w:color="auto" w:sz="4" w:space="0"/>
            </w:tcBorders>
            <w:vAlign w:val="center"/>
          </w:tcPr>
          <w:p w14:paraId="185669A2">
            <w:pPr>
              <w:keepNext w:val="0"/>
              <w:keepLines w:val="0"/>
              <w:suppressLineNumbers w:val="0"/>
              <w:spacing w:before="0" w:beforeAutospacing="0" w:after="0" w:afterAutospacing="0"/>
              <w:ind w:left="0" w:right="0"/>
              <w:rPr>
                <w:rFonts w:hint="eastAsia" w:ascii="宋体" w:hAnsi="宋体" w:eastAsia="宋体" w:cs="宋体"/>
              </w:rPr>
            </w:pPr>
          </w:p>
        </w:tc>
        <w:tc>
          <w:tcPr>
            <w:tcW w:w="6030" w:type="dxa"/>
            <w:tcBorders>
              <w:top w:val="single" w:color="auto" w:sz="4" w:space="0"/>
              <w:left w:val="single" w:color="auto" w:sz="4" w:space="0"/>
              <w:right w:val="single" w:color="auto" w:sz="4" w:space="0"/>
            </w:tcBorders>
            <w:vAlign w:val="center"/>
          </w:tcPr>
          <w:p w14:paraId="0B2724F3">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技术参数明确响应程度，逐一对应并作出响应说明。</w:t>
            </w:r>
          </w:p>
        </w:tc>
      </w:tr>
      <w:tr w14:paraId="47ADA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457" w:type="dxa"/>
            <w:vMerge w:val="continue"/>
            <w:tcBorders>
              <w:left w:val="single" w:color="auto" w:sz="4" w:space="0"/>
              <w:right w:val="single" w:color="auto" w:sz="4" w:space="0"/>
            </w:tcBorders>
            <w:vAlign w:val="center"/>
          </w:tcPr>
          <w:p w14:paraId="5EA94A36">
            <w:pPr>
              <w:keepNext w:val="0"/>
              <w:keepLines w:val="0"/>
              <w:suppressLineNumbers w:val="0"/>
              <w:spacing w:before="0" w:beforeAutospacing="0" w:after="0" w:afterAutospacing="0"/>
              <w:ind w:left="0" w:right="0"/>
              <w:rPr>
                <w:rFonts w:hint="eastAsia" w:ascii="宋体" w:hAnsi="宋体" w:eastAsia="宋体" w:cs="宋体"/>
              </w:rPr>
            </w:pPr>
          </w:p>
        </w:tc>
        <w:tc>
          <w:tcPr>
            <w:tcW w:w="1970" w:type="dxa"/>
            <w:tcBorders>
              <w:top w:val="single" w:color="auto" w:sz="4" w:space="0"/>
              <w:left w:val="single" w:color="auto" w:sz="4" w:space="0"/>
              <w:bottom w:val="single" w:color="auto" w:sz="4" w:space="0"/>
              <w:right w:val="single" w:color="auto" w:sz="4" w:space="0"/>
            </w:tcBorders>
            <w:vAlign w:val="center"/>
          </w:tcPr>
          <w:p w14:paraId="144E0924">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投标报价</w:t>
            </w:r>
          </w:p>
        </w:tc>
        <w:tc>
          <w:tcPr>
            <w:tcW w:w="6030" w:type="dxa"/>
            <w:tcBorders>
              <w:top w:val="single" w:color="auto" w:sz="4" w:space="0"/>
              <w:left w:val="single" w:color="auto" w:sz="4" w:space="0"/>
              <w:bottom w:val="single" w:color="auto" w:sz="4" w:space="0"/>
              <w:right w:val="single" w:color="auto" w:sz="4" w:space="0"/>
            </w:tcBorders>
            <w:vAlign w:val="center"/>
          </w:tcPr>
          <w:p w14:paraId="28B1E940">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只能有一个有效报价且不超过采购预算。</w:t>
            </w:r>
          </w:p>
        </w:tc>
      </w:tr>
      <w:tr w14:paraId="164E8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61" w:hRule="atLeast"/>
          <w:jc w:val="center"/>
        </w:trPr>
        <w:tc>
          <w:tcPr>
            <w:tcW w:w="457" w:type="dxa"/>
            <w:vMerge w:val="continue"/>
            <w:tcBorders>
              <w:left w:val="single" w:color="auto" w:sz="4" w:space="0"/>
              <w:right w:val="single" w:color="auto" w:sz="4" w:space="0"/>
            </w:tcBorders>
            <w:vAlign w:val="center"/>
          </w:tcPr>
          <w:p w14:paraId="33D5812F">
            <w:pPr>
              <w:keepNext w:val="0"/>
              <w:keepLines w:val="0"/>
              <w:suppressLineNumbers w:val="0"/>
              <w:spacing w:before="0" w:beforeAutospacing="0" w:after="0" w:afterAutospacing="0"/>
              <w:ind w:left="0" w:right="0"/>
              <w:rPr>
                <w:rFonts w:hint="eastAsia" w:ascii="宋体" w:hAnsi="宋体" w:eastAsia="宋体" w:cs="宋体"/>
              </w:rPr>
            </w:pPr>
          </w:p>
        </w:tc>
        <w:tc>
          <w:tcPr>
            <w:tcW w:w="1970" w:type="dxa"/>
            <w:tcBorders>
              <w:top w:val="single" w:color="auto" w:sz="4" w:space="0"/>
              <w:left w:val="single" w:color="auto" w:sz="4" w:space="0"/>
              <w:right w:val="single" w:color="auto" w:sz="4" w:space="0"/>
            </w:tcBorders>
            <w:vAlign w:val="center"/>
          </w:tcPr>
          <w:p w14:paraId="25117F3C">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其他要求</w:t>
            </w:r>
          </w:p>
        </w:tc>
        <w:tc>
          <w:tcPr>
            <w:tcW w:w="6030" w:type="dxa"/>
            <w:tcBorders>
              <w:top w:val="single" w:color="auto" w:sz="4" w:space="0"/>
              <w:left w:val="single" w:color="auto" w:sz="4" w:space="0"/>
              <w:right w:val="single" w:color="auto" w:sz="4" w:space="0"/>
            </w:tcBorders>
            <w:vAlign w:val="center"/>
          </w:tcPr>
          <w:p w14:paraId="4CE9B68A">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lang w:val="en-US" w:eastAsia="zh-CN"/>
              </w:rPr>
              <w:t>招采</w:t>
            </w:r>
            <w:r>
              <w:rPr>
                <w:rFonts w:hint="eastAsia" w:ascii="宋体" w:hAnsi="宋体" w:eastAsia="宋体" w:cs="宋体"/>
                <w:sz w:val="21"/>
                <w:szCs w:val="21"/>
              </w:rPr>
              <w:t>文件要求的其他无效投标情形；围标、串标和法律法规规定的其它无效投标条款。</w:t>
            </w:r>
          </w:p>
        </w:tc>
      </w:tr>
    </w:tbl>
    <w:p w14:paraId="7D1DE86A">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8"/>
          <w:szCs w:val="28"/>
          <w:lang w:val="en-US" w:eastAsia="zh-CN"/>
        </w:rPr>
      </w:pPr>
    </w:p>
    <w:p w14:paraId="75D6D9BB">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第二章 投标人须知</w:t>
      </w:r>
    </w:p>
    <w:p w14:paraId="7ED497E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一、报名须知</w:t>
      </w:r>
    </w:p>
    <w:p w14:paraId="4944855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（一）报名方式（投标人可选择以下任意一种方式报名）</w:t>
      </w:r>
    </w:p>
    <w:p w14:paraId="0ACC693E">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1、现场报名：报名时提供营业执照复印件，复印件要求加盖公章。法人报名需提供身份证复印件，委托代理的提供委托代理书（见附件模板）。此项目报名及开标需为同一人。</w:t>
      </w:r>
    </w:p>
    <w:p w14:paraId="33768C7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2、线上报名：投标人下载附件1，按要求填写报名资料，请在报名时间内将报名资料发送到指定邮箱，开标时将纸质版报名资料同响应文件一起递交（请勿将报名资料装订到响应文件里）。</w:t>
      </w:r>
    </w:p>
    <w:p w14:paraId="63753926">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（邮箱地址：zxyyzbb8367192@163.com）</w:t>
      </w:r>
    </w:p>
    <w:p w14:paraId="3052680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（二）招采地点：</w:t>
      </w:r>
    </w:p>
    <w:p w14:paraId="1EBBA5F6">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市中心医院北门西侧人行道路北，好加汇胡同内向北走50米，路东院内办公楼（原工商所办公楼）三楼会议室  </w:t>
      </w:r>
    </w:p>
    <w:p w14:paraId="0B59BFEE">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二、响应文件</w:t>
      </w:r>
    </w:p>
    <w:p w14:paraId="7A68E92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（一）响应文件的构成及编制要求</w:t>
      </w:r>
    </w:p>
    <w:p w14:paraId="2B6EBF75">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响应文件应按照“响应文件格式”进行编写（可以增加附页），作为响应文件的组成部分。</w:t>
      </w:r>
    </w:p>
    <w:p w14:paraId="1060046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（二）编制要求</w:t>
      </w:r>
    </w:p>
    <w:p w14:paraId="6CFE7AB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响应文件统一使用A4规格书写、打印，提供封面，并编写目录，页码必须连续（不能打印的材料可手写页码），</w:t>
      </w:r>
      <w:r>
        <w:rPr>
          <w:rFonts w:hint="eastAsia" w:ascii="宋体" w:hAnsi="宋体" w:eastAsia="宋体" w:cs="宋体"/>
          <w:sz w:val="24"/>
        </w:rPr>
        <w:t>所有页面均需加盖公章</w:t>
      </w:r>
      <w:r>
        <w:rPr>
          <w:rFonts w:hint="eastAsia" w:ascii="宋体" w:hAnsi="宋体" w:eastAsia="宋体" w:cs="宋体"/>
          <w:sz w:val="24"/>
          <w:lang w:eastAsia="zh-CN"/>
        </w:rPr>
        <w:t>。</w:t>
      </w:r>
      <w:r>
        <w:rPr>
          <w:rFonts w:hint="eastAsia" w:ascii="宋体" w:hAnsi="宋体" w:eastAsia="宋体" w:cs="宋体"/>
          <w:sz w:val="24"/>
          <w:szCs w:val="24"/>
          <w:lang w:val="en-US" w:eastAsia="zh-CN"/>
        </w:rPr>
        <w:t>响应文件装订应采用胶订方式牢固装订成册，不可插页抽页，不可采用活页纸装订。正本和副本的封面上应清楚地标记“正本”或“副本”的字样。当正本和副本不一致时，以正本为准。招采时供应商需将投标所需资料胶印3份（一正两副），并密封携带。</w:t>
      </w:r>
    </w:p>
    <w:p w14:paraId="5D3B49C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（三）投标报价</w:t>
      </w:r>
    </w:p>
    <w:p w14:paraId="0B5A94B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1.供应商进行报价时，按“开标一览表”规定的格式报出总价。</w:t>
      </w:r>
    </w:p>
    <w:p w14:paraId="7ECFA4CD">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2.投标报价不得有选择性报价和附有条件的报价，不得缺项、漏项、不得高于预算价，否则按无效投标处理。</w:t>
      </w:r>
    </w:p>
    <w:p w14:paraId="1A6739E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3.对报价的计算错误按以下原则修正：</w:t>
      </w:r>
    </w:p>
    <w:p w14:paraId="78EC093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3.1响应文件中开标一览表（报价表）内容与响应文件中相应内容不一致的，以开标一览表（报价表）为准；</w:t>
      </w:r>
    </w:p>
    <w:p w14:paraId="7A0A34F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3.2大写金额和小写金额不一致的，以大写金额为准；</w:t>
      </w:r>
    </w:p>
    <w:p w14:paraId="2D96DD87">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bCs w:val="0"/>
          <w:color w:val="000000"/>
          <w:sz w:val="24"/>
          <w:szCs w:val="24"/>
          <w:highlight w:val="none"/>
        </w:rPr>
      </w:pPr>
      <w:r>
        <w:rPr>
          <w:rFonts w:hint="eastAsia" w:ascii="宋体" w:hAnsi="宋体" w:eastAsia="宋体" w:cs="宋体"/>
          <w:sz w:val="24"/>
          <w:szCs w:val="24"/>
          <w:lang w:val="en-US" w:eastAsia="zh-CN"/>
        </w:rPr>
        <w:t>3.3</w:t>
      </w:r>
      <w:r>
        <w:rPr>
          <w:rFonts w:hint="eastAsia" w:ascii="宋体" w:hAnsi="宋体" w:eastAsia="宋体" w:cs="宋体"/>
          <w:b w:val="0"/>
          <w:bCs w:val="0"/>
          <w:color w:val="000000"/>
          <w:sz w:val="24"/>
          <w:szCs w:val="24"/>
          <w:highlight w:val="none"/>
        </w:rPr>
        <w:t>总价金额与按单价汇总金额不一致的，以单价金额计算结果为准。</w:t>
      </w:r>
    </w:p>
    <w:p w14:paraId="782CA88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修正后的报价投标人应当采用书面形式，并加盖公章，或者由法定代表人或其授权的代表签字确认后产生约束力，但不得超出</w:t>
      </w:r>
      <w:r>
        <w:rPr>
          <w:rFonts w:hint="eastAsia" w:ascii="宋体" w:hAnsi="宋体" w:eastAsia="宋体" w:cs="宋体"/>
          <w:b w:val="0"/>
          <w:bCs w:val="0"/>
          <w:color w:val="auto"/>
          <w:sz w:val="24"/>
          <w:szCs w:val="24"/>
          <w:highlight w:val="none"/>
          <w:lang w:val="en-US" w:eastAsia="zh-CN"/>
        </w:rPr>
        <w:t>响应</w:t>
      </w:r>
      <w:r>
        <w:rPr>
          <w:rFonts w:hint="eastAsia" w:ascii="宋体" w:hAnsi="宋体" w:eastAsia="宋体" w:cs="宋体"/>
          <w:b w:val="0"/>
          <w:bCs w:val="0"/>
          <w:color w:val="auto"/>
          <w:sz w:val="24"/>
          <w:szCs w:val="24"/>
          <w:highlight w:val="none"/>
        </w:rPr>
        <w:t>文件的范围或者改变</w:t>
      </w:r>
      <w:r>
        <w:rPr>
          <w:rFonts w:hint="eastAsia" w:ascii="宋体" w:hAnsi="宋体" w:eastAsia="宋体" w:cs="宋体"/>
          <w:b w:val="0"/>
          <w:bCs w:val="0"/>
          <w:color w:val="auto"/>
          <w:sz w:val="24"/>
          <w:szCs w:val="24"/>
          <w:highlight w:val="none"/>
          <w:lang w:val="en-US" w:eastAsia="zh-CN"/>
        </w:rPr>
        <w:t>响应</w:t>
      </w:r>
      <w:r>
        <w:rPr>
          <w:rFonts w:hint="eastAsia" w:ascii="宋体" w:hAnsi="宋体" w:eastAsia="宋体" w:cs="宋体"/>
          <w:b w:val="0"/>
          <w:bCs w:val="0"/>
          <w:color w:val="auto"/>
          <w:sz w:val="24"/>
          <w:szCs w:val="24"/>
          <w:highlight w:val="none"/>
        </w:rPr>
        <w:t>文件的实质性内容，投标人不确认的，其投标无效。</w:t>
      </w:r>
    </w:p>
    <w:p w14:paraId="4086A27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4.投标报价出现下列情形之一的，评审委员会启动异常低价投标（响应）审查程序：</w:t>
      </w:r>
    </w:p>
    <w:p w14:paraId="6EEA241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r>
        <w:rPr>
          <w:rFonts w:hint="default" w:ascii="宋体" w:hAnsi="宋体" w:eastAsia="宋体" w:cs="宋体"/>
          <w:b w:val="0"/>
          <w:bCs w:val="0"/>
          <w:color w:val="auto"/>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6757006E">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r>
        <w:rPr>
          <w:rFonts w:hint="default" w:ascii="宋体" w:hAnsi="宋体" w:eastAsia="宋体" w:cs="宋体"/>
          <w:b w:val="0"/>
          <w:bCs w:val="0"/>
          <w:color w:val="auto"/>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2CE54259">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r>
        <w:rPr>
          <w:rFonts w:hint="default" w:ascii="宋体" w:hAnsi="宋体" w:eastAsia="宋体" w:cs="宋体"/>
          <w:b w:val="0"/>
          <w:bCs w:val="0"/>
          <w:color w:val="auto"/>
          <w:sz w:val="24"/>
          <w:szCs w:val="24"/>
          <w:highlight w:val="none"/>
          <w:lang w:val="en-US" w:eastAsia="zh-CN"/>
        </w:rPr>
        <w:t>3.投标（响应）报价低于采购项目最高限价45%的，即投标（响应）报价&lt;采购项目最高限价×45%；</w:t>
      </w:r>
    </w:p>
    <w:p w14:paraId="443F721E">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en-US" w:eastAsia="zh-CN"/>
        </w:rPr>
        <w:t>4</w:t>
      </w:r>
      <w:r>
        <w:rPr>
          <w:rFonts w:hint="default" w:ascii="宋体" w:hAnsi="宋体" w:eastAsia="宋体" w:cs="宋体"/>
          <w:b w:val="0"/>
          <w:bCs w:val="0"/>
          <w:color w:val="auto"/>
          <w:sz w:val="24"/>
          <w:szCs w:val="24"/>
          <w:highlight w:val="none"/>
          <w:lang w:val="en-US" w:eastAsia="zh-CN"/>
        </w:rPr>
        <w:t>评审委员会基于专业判断，认为供应商报价过低，有可能影响产品质量或者不能诚信履约的其他情形。</w:t>
      </w:r>
    </w:p>
    <w:p w14:paraId="4990FE0D">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三、开标</w:t>
      </w:r>
    </w:p>
    <w:p w14:paraId="675A45C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1.开标异议</w:t>
      </w:r>
    </w:p>
    <w:p w14:paraId="7FFDB84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供应商对开标有异议的，应当在开标现场提出，开标结束后，不再受理对开标过程的异议。</w:t>
      </w:r>
    </w:p>
    <w:p w14:paraId="59371C6D">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2.投标无效情形</w:t>
      </w:r>
    </w:p>
    <w:p w14:paraId="47659CE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评委将对各位投标人的资质、参数及响应程度、标书制作规范等进行审核，凡其中有一项不合格的，按无效投标处理。</w:t>
      </w:r>
    </w:p>
    <w:p w14:paraId="6CC5D21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3.有下列情形之一的，视为供应商串通投标：</w:t>
      </w:r>
    </w:p>
    <w:p w14:paraId="169A170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（1）不同供应商的响应文件由同一单位或者个人编制，表现为制作格式等相同；</w:t>
      </w:r>
    </w:p>
    <w:p w14:paraId="558DE44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（2）不同供应商的响应文件由同一单位或者个人办理投标事宜；</w:t>
      </w:r>
    </w:p>
    <w:p w14:paraId="2C6B4E6E">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（3）不同供应商的响应文件载明的项目管理或联系人为同一人；</w:t>
      </w:r>
    </w:p>
    <w:p w14:paraId="5590E2A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（4）不同供应商的响应文件异常一致或者投标报价呈规律性差异；</w:t>
      </w:r>
    </w:p>
    <w:p w14:paraId="7A88B179">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（5）不同供应商存在控股或参股及管理等关系的；</w:t>
      </w:r>
    </w:p>
    <w:p w14:paraId="573629C9">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sz w:val="24"/>
          <w:szCs w:val="24"/>
          <w:lang w:val="en-US" w:eastAsia="zh-CN"/>
        </w:rPr>
      </w:pPr>
      <w:r>
        <w:rPr>
          <w:rFonts w:hint="eastAsia" w:ascii="宋体" w:hAnsi="宋体" w:eastAsia="宋体" w:cs="宋体"/>
          <w:b w:val="0"/>
          <w:sz w:val="24"/>
          <w:szCs w:val="24"/>
          <w:lang w:val="en-US" w:eastAsia="zh-CN"/>
        </w:rPr>
        <w:t xml:space="preserve"> </w:t>
      </w:r>
      <w:r>
        <w:rPr>
          <w:rFonts w:hint="eastAsia" w:ascii="宋体" w:hAnsi="宋体" w:eastAsia="宋体" w:cs="宋体"/>
          <w:b/>
          <w:sz w:val="24"/>
          <w:szCs w:val="24"/>
          <w:lang w:val="en-US" w:eastAsia="zh-CN"/>
        </w:rPr>
        <w:t>说明：在项目评审时被认定为串通投标的投标人不得参加该项目下的投标活动。</w:t>
      </w:r>
    </w:p>
    <w:p w14:paraId="4E46FED5">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4.中标通知书发放</w:t>
      </w:r>
    </w:p>
    <w:p w14:paraId="4953FBB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我院招标办以书面形式向成交供应商发出中标书，中标通知书是合同的重要组成部分，对采购人和成交供应商具有同等法律效力。</w:t>
      </w:r>
    </w:p>
    <w:p w14:paraId="5D252FB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成交供应商需在规定时间内到指定地点领取中标通知书，须持中标通知书签订成交合同。</w:t>
      </w:r>
    </w:p>
    <w:p w14:paraId="324375B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四、质疑</w:t>
      </w:r>
    </w:p>
    <w:p w14:paraId="2BAC9DA1">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（一）供应商认为采购过程和中标、成交结果使自己权益受到损害的，可以在中标结果告知后1个工作日内，以书面形式一次性向我单位提出质疑，可发送至邮箱</w:t>
      </w:r>
      <w:r>
        <w:rPr>
          <w:rFonts w:hint="eastAsia" w:ascii="宋体" w:hAnsi="宋体" w:eastAsia="宋体" w:cs="宋体"/>
          <w:sz w:val="24"/>
          <w:szCs w:val="24"/>
          <w:lang w:val="en-US" w:eastAsia="zh-CN"/>
        </w:rPr>
        <w:t>（邮箱地址：zxyyzbb8367192@163.com）</w:t>
      </w:r>
      <w:r>
        <w:rPr>
          <w:rFonts w:hint="eastAsia" w:ascii="宋体" w:hAnsi="宋体" w:eastAsia="宋体" w:cs="宋体"/>
          <w:b w:val="0"/>
          <w:sz w:val="24"/>
          <w:szCs w:val="24"/>
          <w:lang w:val="en-US" w:eastAsia="zh-CN"/>
        </w:rPr>
        <w:t>，质疑采用实名制。我单位将在7个工作日内以书面形式针对质疑内容作出答复。</w:t>
      </w:r>
    </w:p>
    <w:p w14:paraId="46E1DEC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（二）供应商提出质疑应当提交质疑函和必要的证明材料。质疑函应当包括下列内容：</w:t>
      </w:r>
    </w:p>
    <w:p w14:paraId="7B48AD4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（1）供应商的姓名或者名称、地址、邮编、联系人及联系电话；</w:t>
      </w:r>
    </w:p>
    <w:p w14:paraId="10AC060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（2）质疑项目的名称；</w:t>
      </w:r>
    </w:p>
    <w:p w14:paraId="5E955DE5">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（3）具体、明确的质疑事项和与质疑事项相关的请求；</w:t>
      </w:r>
    </w:p>
    <w:p w14:paraId="085E7E2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（4）事实依据；</w:t>
      </w:r>
    </w:p>
    <w:p w14:paraId="2420BE9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（5）必要的法律依据；</w:t>
      </w:r>
    </w:p>
    <w:p w14:paraId="61C38B99">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（6）提出质疑的日期。</w:t>
      </w:r>
    </w:p>
    <w:p w14:paraId="5FD1068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供应商为自然人的，应当由本人签字，供应商为法人或者其他组织的，应当由法定代表人、主要负责人，或者其授权代表签字或者盖章并加盖公章。</w:t>
      </w:r>
    </w:p>
    <w:p w14:paraId="10F18DB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（三）供应商在提出质疑时，请严格按照相关法律法规及质疑函范本要求提出和制作，否则质疑无效，自行承担相关不利后果。</w:t>
      </w:r>
    </w:p>
    <w:p w14:paraId="1CFDDDB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对捏造事实，提供虚假材料或者以非法手段取得证明材料进行恶意质疑的，一经查实，将上报监督部门，并不得再参与我院的任何采购项目。</w:t>
      </w:r>
    </w:p>
    <w:p w14:paraId="50329E8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 xml:space="preserve"> （四）质疑电话</w:t>
      </w:r>
    </w:p>
    <w:p w14:paraId="3DD3EF1A">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 xml:space="preserve">     纪检监察室   电话：0477-8367180 </w:t>
      </w:r>
    </w:p>
    <w:p w14:paraId="472CB03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 五、投标失信行为黑名单制度</w:t>
      </w:r>
    </w:p>
    <w:p w14:paraId="53B9349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见下页</w:t>
      </w:r>
    </w:p>
    <w:p w14:paraId="7E8D17F5">
      <w:pPr>
        <w:pageBreakBefore w:val="0"/>
        <w:numPr>
          <w:ilvl w:val="0"/>
          <w:numId w:val="0"/>
        </w:numPr>
        <w:wordWrap w:val="0"/>
        <w:autoSpaceDE/>
        <w:autoSpaceDN/>
        <w:bidi w:val="0"/>
        <w:snapToGrid/>
        <w:spacing w:line="360" w:lineRule="auto"/>
        <w:ind w:left="0" w:right="0" w:firstLine="0"/>
        <w:rPr>
          <w:rFonts w:hint="eastAsia" w:ascii="宋体" w:hAnsi="宋体" w:eastAsia="宋体" w:cs="宋体"/>
          <w:sz w:val="24"/>
          <w:szCs w:val="24"/>
          <w:lang w:val="en-US" w:eastAsia="zh-CN"/>
        </w:rPr>
      </w:pPr>
    </w:p>
    <w:p w14:paraId="460D5CA5">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58D3BC59">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40FA4F07">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3B219E93">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7C21F4B4">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6C685F47">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5A510247">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0E3500F5">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659CBD84">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12D7F371">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2DC52523">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01F88751">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0057162B">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5A853ECE">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3216C23D">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09B022D3">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0FB14AB2">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78E5725D">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4E287DA7">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7714E176">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3EEF6AF0">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3692F97E">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518EA289">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投标失信行为黑名单制度</w:t>
      </w:r>
    </w:p>
    <w:p w14:paraId="5EECD8A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为规范院内招采活动，约束投标供应商行为，保障医院的合法权益，现制定院内招标采购黑名单管理规定。</w:t>
      </w:r>
    </w:p>
    <w:p w14:paraId="3FBDA77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（一）投标供应商有如下行为的之一的，纳入黑名单目录。</w:t>
      </w:r>
    </w:p>
    <w:p w14:paraId="444B84BE">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黑名单记录内容：投标厂家名称、法人名称（身份证号）、项目经办人（身份证号）、联系电话等。</w:t>
      </w:r>
    </w:p>
    <w:p w14:paraId="0E4E8B8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1.提供、采用虚假材料进行报名、投标、开标的。</w:t>
      </w:r>
    </w:p>
    <w:p w14:paraId="6A3E2C08">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2.报名成功后无故不参加开标或开标迟到。</w:t>
      </w:r>
    </w:p>
    <w:p w14:paraId="0BA5A270">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3.中标后10个工作日内无正当理由未签订采购合同或拒绝签订采购合同；如有正当理由的，需提供经管理科室负责人签字的情况说明交招标办备案后解除。</w:t>
      </w:r>
    </w:p>
    <w:p w14:paraId="06613B39">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4.开标后经采购小组审查响应文件，认定有虚假应标、串标、陪标或者围标行为的（例如呈现规律性报价、等差或者等比排列；报价绑定、建立攻守联盟等）；投标资料格式、内容等雷同的。</w:t>
      </w:r>
    </w:p>
    <w:p w14:paraId="46437FD5">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5.中标后不履行招采文件要求，例如不按时完工或交货、不履行质保条款、将项目私自转包等。</w:t>
      </w:r>
    </w:p>
    <w:p w14:paraId="4414D45C">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6.所供货物低于参数要求，以次充好、工程项目未按要求施工，未能通过验收，存在欺诈行为等。</w:t>
      </w:r>
    </w:p>
    <w:p w14:paraId="6A60105F">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7.无故弃标。无故弃标的厂家不予退还投标保证金或履约保证金（为避免中标厂家在规定时间内不供货、或者不弃标行为，在合同中要设置院方可以强制解除合同条款）。</w:t>
      </w:r>
    </w:p>
    <w:p w14:paraId="639DFD78">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8.经我院认定的其他投标不良行为。</w:t>
      </w:r>
    </w:p>
    <w:p w14:paraId="1C19AD77">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（二）处罚措施</w:t>
      </w:r>
    </w:p>
    <w:p w14:paraId="5E7C304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1.违反第1项、第2项、第3项条款的，自确定之日起，一年内不允许再次参加医院的招标采购活动。</w:t>
      </w:r>
    </w:p>
    <w:p w14:paraId="14023D3B">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2.违反第4项、第5项、第6项条款的，自确定之日起，三年内不允许再次参加医院的招标采购活动。</w:t>
      </w:r>
    </w:p>
    <w:p w14:paraId="2CB5CD73">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3.违反第7项、第8项条款造成不良影响的，自确定之日起，永久不允许参加医院的招标采购活动。</w:t>
      </w:r>
    </w:p>
    <w:p w14:paraId="7FE00272">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sz w:val="24"/>
          <w:szCs w:val="24"/>
          <w:rtl w:val="0"/>
          <w:lang w:val="en-US" w:eastAsia="zh-CN"/>
        </w:rPr>
      </w:pPr>
      <w:r>
        <w:rPr>
          <w:rFonts w:hint="eastAsia" w:ascii="宋体" w:hAnsi="宋体" w:eastAsia="宋体" w:cs="宋体"/>
          <w:b w:val="0"/>
          <w:bCs/>
          <w:sz w:val="24"/>
          <w:szCs w:val="24"/>
          <w:lang w:val="en-US" w:eastAsia="zh-CN"/>
        </w:rPr>
        <w:t>以上条款需要管理科室及使用科室共同加强监管，发现问题由管理科室及时报送招标办备案。</w:t>
      </w:r>
    </w:p>
    <w:p w14:paraId="04D5C37D">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sz w:val="24"/>
          <w:szCs w:val="24"/>
          <w:lang w:val="en-US" w:eastAsia="zh-CN"/>
        </w:rPr>
      </w:pPr>
      <w:r>
        <w:rPr>
          <w:rFonts w:hint="eastAsia" w:ascii="宋体" w:hAnsi="宋体" w:eastAsia="宋体" w:cs="宋体"/>
          <w:b w:val="0"/>
          <w:bCs/>
          <w:sz w:val="24"/>
          <w:szCs w:val="24"/>
          <w:lang w:val="en-US" w:eastAsia="zh-CN"/>
        </w:rPr>
        <w:t>三、本制度自下发之日起实施</w:t>
      </w:r>
      <w:r>
        <w:rPr>
          <w:rFonts w:hint="eastAsia" w:ascii="宋体" w:hAnsi="宋体" w:eastAsia="宋体" w:cs="宋体"/>
          <w:b/>
          <w:sz w:val="24"/>
          <w:szCs w:val="24"/>
          <w:lang w:val="en-US" w:eastAsia="zh-CN"/>
        </w:rPr>
        <w:t>。</w:t>
      </w:r>
    </w:p>
    <w:p w14:paraId="4A2FCA60">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2" w:firstLineChars="200"/>
        <w:jc w:val="left"/>
        <w:textAlignment w:val="auto"/>
        <w:rPr>
          <w:rFonts w:hint="eastAsia" w:ascii="宋体" w:hAnsi="宋体" w:eastAsia="宋体" w:cs="宋体"/>
          <w:b w:val="0"/>
          <w:sz w:val="24"/>
          <w:szCs w:val="24"/>
          <w:lang w:val="en-US" w:eastAsia="zh-CN"/>
        </w:rPr>
      </w:pPr>
      <w:r>
        <w:rPr>
          <w:rFonts w:hint="eastAsia" w:ascii="宋体" w:hAnsi="宋体" w:eastAsia="宋体" w:cs="宋体"/>
          <w:b/>
          <w:sz w:val="24"/>
          <w:szCs w:val="24"/>
          <w:lang w:val="en-US" w:eastAsia="zh-CN"/>
        </w:rPr>
        <w:t>六、合同签订</w:t>
      </w:r>
    </w:p>
    <w:p w14:paraId="4EA9B6F4">
      <w:pPr>
        <w:keepNext w:val="0"/>
        <w:keepLines w:val="0"/>
        <w:pageBreakBefore w:val="0"/>
        <w:widowControl/>
        <w:numPr>
          <w:ilvl w:val="0"/>
          <w:numId w:val="0"/>
        </w:numPr>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中标单位持中标通知书及合同模板（一式六份，其中管理科室1份、审计科1份、财务科1份、招标办1份、中标供应商2份）同管理科室及分管院领导签订采购合同；合同签订后由招标办审核盖章。</w:t>
      </w:r>
    </w:p>
    <w:p w14:paraId="70923A7E">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2AF36198">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74352AD6">
      <w:pPr>
        <w:numPr>
          <w:ilvl w:val="0"/>
          <w:numId w:val="0"/>
        </w:numPr>
        <w:spacing w:line="360" w:lineRule="auto"/>
        <w:ind w:left="0" w:right="0" w:firstLine="0"/>
        <w:jc w:val="both"/>
        <w:rPr>
          <w:rFonts w:hint="eastAsia" w:asciiTheme="minorEastAsia" w:hAnsiTheme="minorEastAsia"/>
          <w:b/>
          <w:sz w:val="32"/>
          <w:szCs w:val="32"/>
          <w:lang w:val="en-US" w:eastAsia="zh-CN"/>
        </w:rPr>
      </w:pPr>
    </w:p>
    <w:p w14:paraId="419D8E56">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10D1B52F">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7A4946BC">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3362AC60">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0767CE9B">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0B1C5AA9">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3E440314">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4FFA27FE">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598C10F5">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3C46D444">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12422BFD">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0D87AC61">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742A6861">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4962BAFC">
      <w:pPr>
        <w:numPr>
          <w:ilvl w:val="0"/>
          <w:numId w:val="0"/>
        </w:numPr>
        <w:spacing w:line="360" w:lineRule="auto"/>
        <w:ind w:left="0" w:right="0" w:firstLine="0"/>
        <w:jc w:val="both"/>
        <w:rPr>
          <w:rFonts w:hint="eastAsia" w:asciiTheme="minorEastAsia" w:hAnsiTheme="minorEastAsia"/>
          <w:b/>
          <w:sz w:val="32"/>
          <w:szCs w:val="32"/>
          <w:lang w:val="en-US" w:eastAsia="zh-CN"/>
        </w:rPr>
      </w:pPr>
    </w:p>
    <w:p w14:paraId="5F459AD8">
      <w:pPr>
        <w:numPr>
          <w:ilvl w:val="0"/>
          <w:numId w:val="0"/>
        </w:numPr>
        <w:spacing w:line="360" w:lineRule="auto"/>
        <w:ind w:left="0" w:right="0" w:firstLine="2530" w:firstLineChars="900"/>
        <w:jc w:val="both"/>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第三章 响应</w:t>
      </w:r>
      <w:r>
        <w:rPr>
          <w:rFonts w:hint="eastAsia" w:ascii="宋体" w:hAnsi="宋体" w:eastAsia="宋体" w:cs="宋体"/>
          <w:b/>
          <w:bCs w:val="0"/>
          <w:sz w:val="28"/>
          <w:szCs w:val="28"/>
        </w:rPr>
        <w:t>文件格式与要求</w:t>
      </w:r>
    </w:p>
    <w:p w14:paraId="38021AFC">
      <w:pPr>
        <w:keepNext w:val="0"/>
        <w:keepLines w:val="0"/>
        <w:pageBreakBefore w:val="0"/>
        <w:widowControl/>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sz w:val="24"/>
          <w:szCs w:val="24"/>
          <w:lang w:val="zh-CN" w:eastAsia="zh-CN"/>
        </w:rPr>
        <w:t>投标</w:t>
      </w:r>
      <w:r>
        <w:rPr>
          <w:rFonts w:hint="eastAsia" w:ascii="宋体" w:hAnsi="宋体" w:eastAsia="宋体"/>
          <w:sz w:val="24"/>
          <w:szCs w:val="24"/>
          <w:lang w:val="zh-CN"/>
        </w:rPr>
        <w:t>供应商应按照以下格式与要求编制</w:t>
      </w:r>
      <w:r>
        <w:rPr>
          <w:rFonts w:hint="eastAsia" w:ascii="宋体" w:hAnsi="宋体" w:eastAsia="宋体"/>
          <w:sz w:val="24"/>
          <w:szCs w:val="24"/>
          <w:lang w:val="en-US" w:eastAsia="zh-CN"/>
        </w:rPr>
        <w:t>响应</w:t>
      </w:r>
      <w:r>
        <w:rPr>
          <w:rFonts w:hint="eastAsia" w:ascii="宋体" w:hAnsi="宋体" w:eastAsia="宋体"/>
          <w:sz w:val="24"/>
          <w:szCs w:val="24"/>
          <w:lang w:val="zh-CN"/>
        </w:rPr>
        <w:t>文件，</w:t>
      </w:r>
      <w:r>
        <w:rPr>
          <w:rFonts w:hint="eastAsia" w:ascii="宋体" w:hAnsi="宋体" w:eastAsia="宋体"/>
          <w:b/>
          <w:sz w:val="24"/>
          <w:szCs w:val="24"/>
          <w:lang w:val="zh-CN"/>
        </w:rPr>
        <w:t>且应不少于</w:t>
      </w:r>
      <w:r>
        <w:rPr>
          <w:rFonts w:hint="eastAsia" w:ascii="宋体" w:hAnsi="宋体" w:eastAsia="宋体"/>
          <w:b/>
          <w:sz w:val="24"/>
          <w:szCs w:val="24"/>
          <w:lang w:val="zh-CN" w:eastAsia="zh-CN"/>
        </w:rPr>
        <w:t>目录中要求的</w:t>
      </w:r>
      <w:r>
        <w:rPr>
          <w:rFonts w:hint="eastAsia" w:ascii="宋体" w:hAnsi="宋体" w:eastAsia="宋体"/>
          <w:b/>
          <w:sz w:val="24"/>
          <w:szCs w:val="24"/>
          <w:lang w:val="zh-CN"/>
        </w:rPr>
        <w:t>内容。</w:t>
      </w:r>
    </w:p>
    <w:p w14:paraId="4FB45201">
      <w:pPr>
        <w:keepNext w:val="0"/>
        <w:keepLines w:val="0"/>
        <w:pageBreakBefore w:val="0"/>
        <w:widowControl/>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响应</w:t>
      </w:r>
      <w:r>
        <w:rPr>
          <w:rFonts w:hint="eastAsia" w:ascii="宋体" w:hAnsi="宋体" w:eastAsia="宋体"/>
          <w:color w:val="000000"/>
          <w:sz w:val="24"/>
          <w:szCs w:val="24"/>
          <w:lang w:eastAsia="zh-CN"/>
        </w:rPr>
        <w:t>文件应按目录的顺序，编制</w:t>
      </w:r>
      <w:r>
        <w:rPr>
          <w:rFonts w:hint="eastAsia" w:ascii="宋体" w:hAnsi="宋体" w:eastAsia="宋体"/>
          <w:color w:val="000000"/>
          <w:sz w:val="24"/>
          <w:szCs w:val="24"/>
          <w:lang w:val="en-US" w:eastAsia="zh-CN"/>
        </w:rPr>
        <w:t>响应</w:t>
      </w:r>
      <w:r>
        <w:rPr>
          <w:rFonts w:hint="eastAsia" w:ascii="宋体" w:hAnsi="宋体" w:eastAsia="宋体"/>
          <w:color w:val="000000"/>
          <w:sz w:val="24"/>
          <w:szCs w:val="24"/>
          <w:lang w:eastAsia="zh-CN"/>
        </w:rPr>
        <w:t>文件。</w:t>
      </w:r>
    </w:p>
    <w:p w14:paraId="7AD0A108">
      <w:pPr>
        <w:keepNext w:val="0"/>
        <w:keepLines w:val="0"/>
        <w:pageBreakBefore w:val="0"/>
        <w:widowControl/>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响应文件统一使用A4规格打印，页码必须连续（不能打印的材料可手写页码）。响应文件装订应采用胶订方式牢固装订成册，不可插页抽页，不可采用活页纸装订，所有页面均需加盖公章。</w:t>
      </w:r>
    </w:p>
    <w:p w14:paraId="1B9785F8">
      <w:pPr>
        <w:keepNext w:val="0"/>
        <w:keepLines w:val="0"/>
        <w:pageBreakBefore w:val="0"/>
        <w:widowControl/>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在产品技术参数偏离表中，报名产品的实际技术参数应实事求是，具体应答，</w:t>
      </w:r>
      <w:r>
        <w:rPr>
          <w:rFonts w:hint="eastAsia" w:ascii="宋体" w:hAnsi="宋体" w:eastAsia="宋体"/>
          <w:b/>
          <w:color w:val="000000"/>
          <w:sz w:val="24"/>
          <w:szCs w:val="24"/>
          <w:lang w:val="en-US" w:eastAsia="zh-CN"/>
        </w:rPr>
        <w:t>如果是对公告中要求的技术参数进行简单地复制粘贴，则取消投标资格，并列入我院招标采购黑名单记录。</w:t>
      </w:r>
    </w:p>
    <w:p w14:paraId="0B426459">
      <w:pPr>
        <w:keepNext w:val="0"/>
        <w:keepLines w:val="0"/>
        <w:pageBreakBefore w:val="0"/>
        <w:widowControl/>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响应文件材料的齐全程度，是医院确定最终选择的一个重要因素。</w:t>
      </w:r>
    </w:p>
    <w:p w14:paraId="78552198">
      <w:pPr>
        <w:keepNext w:val="0"/>
        <w:keepLines w:val="0"/>
        <w:pageBreakBefore w:val="0"/>
        <w:widowControl/>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olor w:val="000000"/>
          <w:sz w:val="24"/>
          <w:szCs w:val="24"/>
        </w:rPr>
      </w:pPr>
      <w:r>
        <w:rPr>
          <w:rFonts w:hint="eastAsia" w:ascii="宋体" w:hAnsi="宋体" w:eastAsia="宋体"/>
          <w:color w:val="000000"/>
          <w:sz w:val="24"/>
          <w:szCs w:val="24"/>
          <w:lang w:val="en-US" w:eastAsia="zh-CN"/>
        </w:rPr>
        <w:t>报名单位在响应文件中提供的所有资料必须真实有效，如若提供虚假材料将依法追究其法律责任。</w:t>
      </w:r>
    </w:p>
    <w:p w14:paraId="4F985ECC"/>
    <w:p w14:paraId="60AC2891"/>
    <w:p w14:paraId="6088753A"/>
    <w:p w14:paraId="20337561"/>
    <w:p w14:paraId="29EF6831">
      <w:bookmarkStart w:id="0" w:name="_Toc422403383"/>
    </w:p>
    <w:p w14:paraId="7EBAF13C"/>
    <w:p w14:paraId="4991E38E"/>
    <w:p w14:paraId="7D4A33AB">
      <w:pPr>
        <w:pStyle w:val="7"/>
      </w:pPr>
    </w:p>
    <w:p w14:paraId="3132B795"/>
    <w:p w14:paraId="0A576042">
      <w:pPr>
        <w:pStyle w:val="7"/>
      </w:pPr>
    </w:p>
    <w:p w14:paraId="6DC81925"/>
    <w:p w14:paraId="73950FA8">
      <w:pPr>
        <w:pStyle w:val="7"/>
      </w:pPr>
    </w:p>
    <w:p w14:paraId="3D3ADE1E"/>
    <w:p w14:paraId="3EA602B9">
      <w:pPr>
        <w:pStyle w:val="7"/>
      </w:pPr>
    </w:p>
    <w:p w14:paraId="1C2369B1"/>
    <w:p w14:paraId="3D46A060">
      <w:pPr>
        <w:pStyle w:val="7"/>
      </w:pPr>
    </w:p>
    <w:p w14:paraId="0941FFCE"/>
    <w:p w14:paraId="46CE1A36">
      <w:pPr>
        <w:pStyle w:val="7"/>
      </w:pPr>
    </w:p>
    <w:p w14:paraId="2D3AA324"/>
    <w:p w14:paraId="5C50B345">
      <w:pPr>
        <w:pStyle w:val="7"/>
      </w:pPr>
    </w:p>
    <w:p w14:paraId="1C24A7AD"/>
    <w:p w14:paraId="38F03B4E">
      <w:pPr>
        <w:pStyle w:val="7"/>
      </w:pPr>
    </w:p>
    <w:p w14:paraId="5AB51ED1"/>
    <w:p w14:paraId="6F67E51F">
      <w:pPr>
        <w:pStyle w:val="7"/>
      </w:pPr>
    </w:p>
    <w:p w14:paraId="74F8E7E8"/>
    <w:p w14:paraId="5CC96C96">
      <w:pPr>
        <w:pStyle w:val="3"/>
        <w:rPr>
          <w:rFonts w:hint="eastAsia" w:ascii="宋体" w:hAnsi="宋体" w:eastAsia="宋体" w:cs="宋体"/>
          <w:color w:val="000000"/>
        </w:rPr>
      </w:pPr>
      <w:r>
        <w:rPr>
          <w:rFonts w:hint="eastAsia" w:ascii="宋体" w:hAnsi="宋体" w:eastAsia="宋体" w:cs="宋体"/>
          <w:color w:val="000000"/>
        </w:rPr>
        <w:t>（封面）</w:t>
      </w:r>
      <w:bookmarkEnd w:id="0"/>
    </w:p>
    <w:p w14:paraId="3EAB1DD3">
      <w:pPr>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鄂尔多斯市中心医院</w:t>
      </w:r>
      <w:r>
        <w:rPr>
          <w:rFonts w:hint="eastAsia" w:ascii="宋体" w:hAnsi="宋体" w:eastAsia="宋体" w:cs="宋体"/>
          <w:b/>
          <w:color w:val="000000"/>
          <w:sz w:val="36"/>
          <w:szCs w:val="36"/>
          <w:lang w:eastAsia="zh-CN"/>
        </w:rPr>
        <w:t>院内</w:t>
      </w:r>
      <w:r>
        <w:rPr>
          <w:rFonts w:hint="eastAsia" w:ascii="宋体" w:hAnsi="宋体" w:eastAsia="宋体" w:cs="宋体"/>
          <w:b/>
          <w:color w:val="000000"/>
          <w:sz w:val="36"/>
          <w:szCs w:val="36"/>
        </w:rPr>
        <w:t>采购项目</w:t>
      </w:r>
      <w:r>
        <w:rPr>
          <w:rFonts w:hint="eastAsia" w:ascii="宋体" w:hAnsi="宋体" w:eastAsia="宋体" w:cs="宋体"/>
          <w:b/>
          <w:color w:val="000000"/>
          <w:sz w:val="36"/>
          <w:szCs w:val="36"/>
          <w:lang w:val="en-US" w:eastAsia="zh-CN"/>
        </w:rPr>
        <w:t>响应</w:t>
      </w:r>
      <w:r>
        <w:rPr>
          <w:rFonts w:hint="eastAsia" w:ascii="宋体" w:hAnsi="宋体" w:eastAsia="宋体" w:cs="宋体"/>
          <w:b/>
          <w:color w:val="000000"/>
          <w:sz w:val="36"/>
          <w:szCs w:val="36"/>
        </w:rPr>
        <w:t>文件</w:t>
      </w:r>
    </w:p>
    <w:p w14:paraId="537D895F">
      <w:pPr>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          </w:t>
      </w:r>
    </w:p>
    <w:p w14:paraId="089B447A">
      <w:pPr>
        <w:ind w:firstLine="400"/>
        <w:rPr>
          <w:rFonts w:hint="eastAsia" w:ascii="宋体" w:hAnsi="宋体" w:eastAsia="宋体" w:cs="宋体"/>
          <w:b/>
          <w:color w:val="000000"/>
          <w:sz w:val="44"/>
          <w:szCs w:val="44"/>
        </w:rPr>
      </w:pPr>
    </w:p>
    <w:p w14:paraId="69822950">
      <w:pPr>
        <w:jc w:val="center"/>
        <w:rPr>
          <w:rFonts w:hint="eastAsia" w:ascii="宋体" w:hAnsi="宋体" w:eastAsia="宋体" w:cs="宋体"/>
          <w:b/>
          <w:color w:val="000000"/>
          <w:sz w:val="72"/>
          <w:szCs w:val="72"/>
        </w:rPr>
      </w:pPr>
      <w:r>
        <w:rPr>
          <w:rFonts w:hint="eastAsia" w:ascii="宋体" w:hAnsi="宋体" w:eastAsia="宋体" w:cs="宋体"/>
          <w:b/>
          <w:color w:val="000000"/>
          <w:sz w:val="72"/>
          <w:szCs w:val="72"/>
          <w:lang w:val="en-US" w:eastAsia="zh-CN"/>
        </w:rPr>
        <w:t>投标项目</w:t>
      </w:r>
      <w:r>
        <w:rPr>
          <w:rFonts w:hint="eastAsia" w:ascii="宋体" w:hAnsi="宋体" w:eastAsia="宋体" w:cs="宋体"/>
          <w:b/>
          <w:color w:val="000000"/>
          <w:sz w:val="72"/>
          <w:szCs w:val="72"/>
        </w:rPr>
        <w:t>名称</w:t>
      </w:r>
    </w:p>
    <w:p w14:paraId="785FA6DF">
      <w:pPr>
        <w:jc w:val="center"/>
        <w:rPr>
          <w:rFonts w:hint="eastAsia" w:ascii="宋体" w:hAnsi="宋体" w:eastAsia="宋体" w:cs="宋体"/>
          <w:b/>
          <w:color w:val="000000"/>
          <w:sz w:val="72"/>
          <w:szCs w:val="72"/>
          <w:lang w:eastAsia="zh-CN"/>
        </w:rPr>
      </w:pPr>
      <w:r>
        <w:rPr>
          <w:rFonts w:hint="eastAsia" w:ascii="宋体" w:hAnsi="宋体" w:eastAsia="宋体" w:cs="宋体"/>
          <w:b/>
          <w:color w:val="000000"/>
          <w:sz w:val="72"/>
          <w:szCs w:val="72"/>
          <w:lang w:eastAsia="zh-CN"/>
        </w:rPr>
        <w:t>（</w:t>
      </w:r>
      <w:r>
        <w:rPr>
          <w:rFonts w:hint="eastAsia" w:ascii="宋体" w:hAnsi="宋体" w:eastAsia="宋体" w:cs="宋体"/>
          <w:b/>
          <w:color w:val="000000"/>
          <w:sz w:val="72"/>
          <w:szCs w:val="72"/>
          <w:lang w:val="en-US" w:eastAsia="zh-CN"/>
        </w:rPr>
        <w:t>正本/副本</w:t>
      </w:r>
      <w:r>
        <w:rPr>
          <w:rFonts w:hint="eastAsia" w:ascii="宋体" w:hAnsi="宋体" w:eastAsia="宋体" w:cs="宋体"/>
          <w:b/>
          <w:color w:val="000000"/>
          <w:sz w:val="72"/>
          <w:szCs w:val="72"/>
          <w:lang w:eastAsia="zh-CN"/>
        </w:rPr>
        <w:t>）</w:t>
      </w:r>
    </w:p>
    <w:p w14:paraId="0C6C78E6">
      <w:pPr>
        <w:ind w:firstLine="400"/>
        <w:rPr>
          <w:rFonts w:hint="eastAsia" w:ascii="宋体" w:hAnsi="宋体" w:eastAsia="宋体" w:cs="宋体"/>
          <w:b/>
          <w:color w:val="000000"/>
          <w:sz w:val="44"/>
          <w:szCs w:val="44"/>
        </w:rPr>
      </w:pPr>
    </w:p>
    <w:p w14:paraId="44EB3B84">
      <w:pPr>
        <w:ind w:firstLine="400"/>
        <w:rPr>
          <w:rFonts w:hint="eastAsia" w:ascii="宋体" w:hAnsi="宋体" w:eastAsia="宋体" w:cs="宋体"/>
          <w:b/>
          <w:color w:val="000000"/>
          <w:sz w:val="44"/>
          <w:szCs w:val="44"/>
        </w:rPr>
      </w:pPr>
    </w:p>
    <w:p w14:paraId="4A0104E7">
      <w:pPr>
        <w:ind w:firstLine="400"/>
        <w:rPr>
          <w:rFonts w:hint="eastAsia" w:ascii="宋体" w:hAnsi="宋体" w:eastAsia="宋体" w:cs="宋体"/>
          <w:b/>
          <w:color w:val="000000"/>
          <w:sz w:val="44"/>
          <w:szCs w:val="44"/>
        </w:rPr>
      </w:pPr>
    </w:p>
    <w:p w14:paraId="68CC9F2A">
      <w:pPr>
        <w:ind w:firstLine="400"/>
        <w:rPr>
          <w:rFonts w:hint="eastAsia" w:ascii="宋体" w:hAnsi="宋体" w:eastAsia="宋体" w:cs="宋体"/>
          <w:b/>
          <w:color w:val="000000"/>
          <w:sz w:val="44"/>
          <w:szCs w:val="44"/>
        </w:rPr>
      </w:pPr>
    </w:p>
    <w:p w14:paraId="622CE6BF">
      <w:pPr>
        <w:ind w:firstLine="400"/>
        <w:rPr>
          <w:rFonts w:hint="eastAsia" w:ascii="宋体" w:hAnsi="宋体" w:eastAsia="宋体" w:cs="宋体"/>
          <w:b/>
          <w:color w:val="000000"/>
          <w:sz w:val="30"/>
          <w:szCs w:val="30"/>
        </w:rPr>
      </w:pPr>
      <w:r>
        <w:rPr>
          <w:rFonts w:hint="eastAsia" w:ascii="宋体" w:hAnsi="宋体" w:eastAsia="宋体" w:cs="宋体"/>
          <w:b/>
          <w:color w:val="000000"/>
          <w:sz w:val="30"/>
          <w:szCs w:val="30"/>
          <w:lang w:val="en-US" w:eastAsia="zh-CN"/>
        </w:rPr>
        <w:t>投标供应商</w:t>
      </w:r>
      <w:r>
        <w:rPr>
          <w:rFonts w:hint="eastAsia" w:ascii="宋体" w:hAnsi="宋体" w:eastAsia="宋体" w:cs="宋体"/>
          <w:b/>
          <w:color w:val="000000"/>
          <w:sz w:val="30"/>
          <w:szCs w:val="30"/>
        </w:rPr>
        <w:t>：</w:t>
      </w:r>
    </w:p>
    <w:p w14:paraId="1B948E63">
      <w:pPr>
        <w:ind w:firstLine="400"/>
        <w:rPr>
          <w:rFonts w:hint="eastAsia" w:ascii="宋体" w:hAnsi="宋体" w:eastAsia="宋体" w:cs="宋体"/>
          <w:b/>
          <w:color w:val="000000"/>
          <w:sz w:val="30"/>
          <w:szCs w:val="30"/>
          <w:lang w:val="en-US" w:eastAsia="zh-CN"/>
        </w:rPr>
      </w:pPr>
    </w:p>
    <w:p w14:paraId="64967C1E">
      <w:pPr>
        <w:ind w:firstLine="400"/>
        <w:rPr>
          <w:rFonts w:hint="eastAsia" w:ascii="宋体" w:hAnsi="宋体" w:eastAsia="宋体" w:cs="宋体"/>
          <w:b/>
          <w:color w:val="000000"/>
          <w:sz w:val="30"/>
          <w:szCs w:val="30"/>
        </w:rPr>
      </w:pPr>
      <w:r>
        <w:rPr>
          <w:rFonts w:hint="eastAsia" w:ascii="宋体" w:hAnsi="宋体" w:eastAsia="宋体" w:cs="宋体"/>
          <w:b/>
          <w:color w:val="000000"/>
          <w:sz w:val="30"/>
          <w:szCs w:val="30"/>
          <w:lang w:val="en-US" w:eastAsia="zh-CN"/>
        </w:rPr>
        <w:t>联系人</w:t>
      </w:r>
      <w:r>
        <w:rPr>
          <w:rFonts w:hint="eastAsia" w:ascii="宋体" w:hAnsi="宋体" w:eastAsia="宋体" w:cs="宋体"/>
          <w:b/>
          <w:color w:val="000000"/>
          <w:sz w:val="30"/>
          <w:szCs w:val="30"/>
        </w:rPr>
        <w:t>:</w:t>
      </w:r>
    </w:p>
    <w:p w14:paraId="4F586B40">
      <w:pPr>
        <w:ind w:firstLine="400"/>
        <w:rPr>
          <w:rFonts w:hint="eastAsia" w:ascii="宋体" w:hAnsi="宋体" w:eastAsia="宋体" w:cs="宋体"/>
          <w:b/>
          <w:color w:val="000000"/>
          <w:sz w:val="30"/>
          <w:szCs w:val="30"/>
        </w:rPr>
      </w:pPr>
    </w:p>
    <w:p w14:paraId="4F7B36F3">
      <w:pPr>
        <w:ind w:firstLine="400"/>
        <w:rPr>
          <w:rFonts w:hint="eastAsia" w:ascii="宋体" w:hAnsi="宋体" w:eastAsia="宋体" w:cs="宋体"/>
          <w:b/>
          <w:color w:val="000000"/>
          <w:sz w:val="30"/>
          <w:szCs w:val="30"/>
        </w:rPr>
      </w:pPr>
      <w:r>
        <w:rPr>
          <w:rFonts w:hint="eastAsia" w:ascii="宋体" w:hAnsi="宋体" w:eastAsia="宋体" w:cs="宋体"/>
          <w:b/>
          <w:color w:val="000000"/>
          <w:sz w:val="30"/>
          <w:szCs w:val="30"/>
        </w:rPr>
        <w:t>联系电话:</w:t>
      </w:r>
    </w:p>
    <w:p w14:paraId="226EE18C">
      <w:pPr>
        <w:ind w:firstLine="400"/>
        <w:rPr>
          <w:rFonts w:hint="eastAsia" w:ascii="宋体" w:hAnsi="宋体" w:eastAsia="宋体" w:cs="宋体"/>
          <w:b/>
          <w:color w:val="000000"/>
          <w:sz w:val="30"/>
          <w:szCs w:val="30"/>
          <w:lang w:val="en-US" w:eastAsia="zh-CN"/>
        </w:rPr>
      </w:pPr>
      <w:r>
        <w:rPr>
          <w:rFonts w:hint="eastAsia" w:ascii="宋体" w:hAnsi="宋体" w:eastAsia="宋体" w:cs="宋体"/>
          <w:b/>
          <w:color w:val="000000"/>
          <w:sz w:val="30"/>
          <w:szCs w:val="30"/>
          <w:lang w:val="en-US" w:eastAsia="zh-CN"/>
        </w:rPr>
        <w:t xml:space="preserve"> </w:t>
      </w:r>
    </w:p>
    <w:p w14:paraId="4A9A7E3C">
      <w:pPr>
        <w:ind w:firstLine="450"/>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     年   月   日</w:t>
      </w:r>
    </w:p>
    <w:p w14:paraId="643C14BB">
      <w:pPr>
        <w:numPr>
          <w:ilvl w:val="0"/>
          <w:numId w:val="0"/>
        </w:numPr>
        <w:spacing w:line="360" w:lineRule="auto"/>
        <w:ind w:left="0" w:right="0" w:firstLine="0"/>
        <w:jc w:val="center"/>
        <w:rPr>
          <w:rFonts w:hint="eastAsia" w:asciiTheme="minorEastAsia" w:hAnsiTheme="minorEastAsia"/>
          <w:b/>
          <w:sz w:val="32"/>
          <w:szCs w:val="32"/>
          <w:lang w:val="en-US" w:eastAsia="zh-CN"/>
        </w:rPr>
      </w:pPr>
      <w:r>
        <w:rPr>
          <w:rFonts w:hint="eastAsia" w:asciiTheme="minorEastAsia" w:hAnsiTheme="minorEastAsia"/>
          <w:b/>
          <w:sz w:val="32"/>
          <w:szCs w:val="32"/>
          <w:lang w:val="en-US" w:eastAsia="zh-CN"/>
        </w:rPr>
        <w:t xml:space="preserve"> </w:t>
      </w:r>
    </w:p>
    <w:p w14:paraId="2E08354A">
      <w:pPr>
        <w:numPr>
          <w:ilvl w:val="0"/>
          <w:numId w:val="0"/>
        </w:numPr>
        <w:spacing w:line="360" w:lineRule="auto"/>
        <w:ind w:left="0" w:right="0" w:firstLine="0"/>
        <w:jc w:val="center"/>
        <w:rPr>
          <w:rFonts w:hint="eastAsia" w:asciiTheme="minorEastAsia" w:hAnsiTheme="minorEastAsia"/>
          <w:b/>
          <w:sz w:val="32"/>
          <w:szCs w:val="32"/>
          <w:lang w:val="en-US" w:eastAsia="zh-CN"/>
        </w:rPr>
      </w:pPr>
    </w:p>
    <w:p w14:paraId="0DF36643">
      <w:pPr>
        <w:numPr>
          <w:ilvl w:val="0"/>
          <w:numId w:val="0"/>
        </w:numPr>
        <w:spacing w:line="360" w:lineRule="auto"/>
        <w:ind w:left="0" w:right="0" w:firstLine="0"/>
        <w:jc w:val="both"/>
        <w:rPr>
          <w:rFonts w:hint="eastAsia" w:ascii="宋体" w:hAnsi="宋体" w:eastAsia="宋体" w:cs="宋体"/>
          <w:b w:val="0"/>
          <w:color w:val="000000"/>
          <w:sz w:val="32"/>
          <w:szCs w:val="32"/>
          <w:lang w:val="en-US" w:eastAsia="zh-CN" w:bidi="ar-SA"/>
        </w:rPr>
      </w:pPr>
    </w:p>
    <w:p w14:paraId="039B1810">
      <w:pPr>
        <w:numPr>
          <w:ilvl w:val="0"/>
          <w:numId w:val="0"/>
        </w:numPr>
        <w:spacing w:line="360" w:lineRule="auto"/>
        <w:ind w:left="0" w:right="0" w:firstLine="0"/>
        <w:jc w:val="both"/>
        <w:rPr>
          <w:rFonts w:hint="eastAsia" w:ascii="宋体" w:hAnsi="宋体" w:eastAsia="宋体" w:cs="宋体"/>
          <w:b w:val="0"/>
          <w:color w:val="000000"/>
          <w:sz w:val="32"/>
          <w:szCs w:val="32"/>
          <w:lang w:val="en-US" w:eastAsia="zh-CN" w:bidi="ar-SA"/>
        </w:rPr>
      </w:pPr>
    </w:p>
    <w:p w14:paraId="38E268FC">
      <w:pPr>
        <w:numPr>
          <w:ilvl w:val="0"/>
          <w:numId w:val="0"/>
        </w:numPr>
        <w:spacing w:line="360" w:lineRule="auto"/>
        <w:ind w:left="0" w:right="0" w:firstLine="0"/>
        <w:jc w:val="center"/>
        <w:rPr>
          <w:rFonts w:ascii="宋体" w:hAnsi="宋体" w:eastAsia="宋体" w:cs="宋体"/>
          <w:b w:val="0"/>
          <w:color w:val="000000"/>
          <w:sz w:val="32"/>
          <w:szCs w:val="32"/>
        </w:rPr>
      </w:pPr>
      <w:r>
        <w:rPr>
          <w:rFonts w:ascii="宋体" w:hAnsi="宋体" w:eastAsia="宋体" w:cs="宋体"/>
          <w:b w:val="0"/>
          <w:color w:val="000000"/>
          <w:sz w:val="32"/>
          <w:szCs w:val="32"/>
        </w:rPr>
        <w:t>目录</w:t>
      </w:r>
    </w:p>
    <w:p w14:paraId="5754B9D1">
      <w:pPr>
        <w:numPr>
          <w:ilvl w:val="0"/>
          <w:numId w:val="0"/>
        </w:numPr>
        <w:spacing w:line="360" w:lineRule="auto"/>
        <w:ind w:left="0" w:right="0" w:firstLine="0"/>
        <w:jc w:val="both"/>
        <w:rPr>
          <w:rFonts w:ascii="黑体" w:hAnsi="黑体" w:eastAsia="黑体" w:cs="黑体"/>
          <w:b w:val="0"/>
          <w:color w:val="000000"/>
          <w:sz w:val="32"/>
          <w:szCs w:val="32"/>
        </w:rPr>
      </w:pPr>
    </w:p>
    <w:p w14:paraId="5DC82E7A">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一、投标承诺书....................................................            </w:t>
      </w:r>
    </w:p>
    <w:p w14:paraId="66DF0566">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二、开标一览表.....................................................</w:t>
      </w:r>
    </w:p>
    <w:p w14:paraId="287B3181">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三、报名产品详细情况表.............................................</w:t>
      </w:r>
    </w:p>
    <w:p w14:paraId="6B570F33">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四、</w:t>
      </w:r>
      <w:r>
        <w:rPr>
          <w:rFonts w:hint="eastAsia" w:ascii="宋体" w:hAnsi="宋体" w:eastAsia="宋体" w:cs="宋体"/>
          <w:b w:val="0"/>
          <w:color w:val="000000"/>
          <w:sz w:val="24"/>
          <w:szCs w:val="24"/>
          <w:lang w:val="en-US" w:eastAsia="zh-CN"/>
        </w:rPr>
        <w:t>法定代表人身份证明及授权委托人身份证明</w:t>
      </w:r>
      <w:r>
        <w:rPr>
          <w:rFonts w:ascii="宋体" w:hAnsi="宋体" w:eastAsia="宋体" w:cs="宋体"/>
          <w:b w:val="0"/>
          <w:color w:val="000000"/>
          <w:sz w:val="24"/>
          <w:szCs w:val="24"/>
        </w:rPr>
        <w:t>.........................</w:t>
      </w:r>
    </w:p>
    <w:p w14:paraId="4635B84F">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五、</w:t>
      </w:r>
      <w:r>
        <w:rPr>
          <w:rFonts w:hint="eastAsia" w:ascii="宋体" w:hAnsi="宋体" w:eastAsia="宋体" w:cs="宋体"/>
          <w:b w:val="0"/>
          <w:color w:val="000000"/>
          <w:sz w:val="24"/>
          <w:szCs w:val="24"/>
          <w:lang w:val="en-US" w:eastAsia="zh-CN"/>
        </w:rPr>
        <w:t>投标</w:t>
      </w:r>
      <w:r>
        <w:rPr>
          <w:rFonts w:hint="eastAsia" w:ascii="宋体" w:hAnsi="宋体" w:eastAsia="宋体" w:cs="宋体"/>
          <w:b w:val="0"/>
          <w:color w:val="000000"/>
          <w:sz w:val="24"/>
          <w:szCs w:val="24"/>
        </w:rPr>
        <w:t>供应商</w:t>
      </w:r>
      <w:r>
        <w:rPr>
          <w:rFonts w:ascii="宋体" w:hAnsi="宋体" w:eastAsia="宋体" w:cs="宋体"/>
          <w:b w:val="0"/>
          <w:color w:val="000000"/>
          <w:sz w:val="24"/>
          <w:szCs w:val="24"/>
        </w:rPr>
        <w:t>基本情况表...........................................</w:t>
      </w:r>
    </w:p>
    <w:p w14:paraId="4A7AB122">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六、提供具有独立承担民事责任的能力的证明材料....................... </w:t>
      </w:r>
    </w:p>
    <w:p w14:paraId="05FE4543">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七、提供具有良好的商业信誉和健全的财务会计制度的证明材料........... </w:t>
      </w:r>
    </w:p>
    <w:p w14:paraId="0FD89AFF">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八、提供依法缴纳税收和社会保障资金的良好记录........................ </w:t>
      </w:r>
    </w:p>
    <w:p w14:paraId="4E95D561">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九、具有履行合同所必须的设备和专业技术能力的声明.................... </w:t>
      </w:r>
    </w:p>
    <w:p w14:paraId="2D9DD332">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十、</w:t>
      </w:r>
      <w:r>
        <w:rPr>
          <w:rFonts w:hint="eastAsia" w:ascii="宋体" w:hAnsi="宋体" w:eastAsia="宋体" w:cs="宋体"/>
          <w:b w:val="0"/>
          <w:color w:val="000000"/>
          <w:sz w:val="24"/>
          <w:szCs w:val="24"/>
          <w:lang w:val="en-US" w:eastAsia="zh-CN"/>
        </w:rPr>
        <w:t>检测报告、承诺函等</w:t>
      </w:r>
      <w:r>
        <w:rPr>
          <w:rFonts w:ascii="宋体" w:hAnsi="宋体" w:eastAsia="宋体" w:cs="宋体"/>
          <w:b w:val="0"/>
          <w:color w:val="000000"/>
          <w:sz w:val="24"/>
          <w:szCs w:val="24"/>
        </w:rPr>
        <w:t>材料.........................................</w:t>
      </w:r>
    </w:p>
    <w:p w14:paraId="55607268">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十一、参加</w:t>
      </w:r>
      <w:r>
        <w:rPr>
          <w:rFonts w:hint="eastAsia" w:ascii="宋体" w:hAnsi="宋体" w:eastAsia="宋体" w:cs="宋体"/>
          <w:b w:val="0"/>
          <w:color w:val="000000"/>
          <w:sz w:val="24"/>
          <w:szCs w:val="24"/>
          <w:lang w:val="en-US" w:eastAsia="zh-CN"/>
        </w:rPr>
        <w:t>本次</w:t>
      </w:r>
      <w:r>
        <w:rPr>
          <w:rFonts w:ascii="宋体" w:hAnsi="宋体" w:eastAsia="宋体" w:cs="宋体"/>
          <w:b w:val="0"/>
          <w:color w:val="000000"/>
          <w:sz w:val="24"/>
          <w:szCs w:val="24"/>
        </w:rPr>
        <w:t xml:space="preserve">采购前三年内在经营活动中无重大违法记录书面声明........ </w:t>
      </w:r>
    </w:p>
    <w:p w14:paraId="1ACB361E">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十二、主要商务要求承诺书 ...........................................</w:t>
      </w:r>
    </w:p>
    <w:p w14:paraId="18FCAAB5">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 xml:space="preserve">十三、技术偏离表.................................................... </w:t>
      </w:r>
    </w:p>
    <w:p w14:paraId="0E54BD11">
      <w:pPr>
        <w:numPr>
          <w:ilvl w:val="0"/>
          <w:numId w:val="0"/>
        </w:numPr>
        <w:spacing w:line="360" w:lineRule="auto"/>
        <w:ind w:left="0" w:right="0" w:firstLine="0"/>
        <w:jc w:val="both"/>
        <w:rPr>
          <w:rFonts w:ascii="宋体" w:hAnsi="宋体" w:eastAsia="宋体" w:cs="宋体"/>
          <w:b w:val="0"/>
          <w:color w:val="000000"/>
          <w:sz w:val="24"/>
          <w:szCs w:val="24"/>
        </w:rPr>
      </w:pPr>
      <w:r>
        <w:rPr>
          <w:rFonts w:ascii="宋体" w:hAnsi="宋体" w:eastAsia="宋体" w:cs="宋体"/>
          <w:b w:val="0"/>
          <w:color w:val="000000"/>
          <w:sz w:val="24"/>
          <w:szCs w:val="24"/>
        </w:rPr>
        <w:t>十四、售后服务......................................................</w:t>
      </w:r>
    </w:p>
    <w:p w14:paraId="5019C900">
      <w:pPr>
        <w:numPr>
          <w:ilvl w:val="0"/>
          <w:numId w:val="0"/>
        </w:numPr>
        <w:spacing w:line="360" w:lineRule="auto"/>
        <w:ind w:left="0" w:right="0" w:firstLine="0"/>
        <w:jc w:val="both"/>
        <w:rPr>
          <w:rFonts w:hint="default"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十五、其它</w:t>
      </w:r>
      <w:r>
        <w:rPr>
          <w:rFonts w:ascii="宋体" w:hAnsi="宋体" w:eastAsia="宋体" w:cs="宋体"/>
          <w:b w:val="0"/>
          <w:color w:val="000000"/>
          <w:sz w:val="24"/>
          <w:szCs w:val="24"/>
        </w:rPr>
        <w:t>..........................................................</w:t>
      </w:r>
    </w:p>
    <w:p w14:paraId="5A9295B7">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7F6D0F5C">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24096FC2">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5F392312">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682F78A1">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65716E60">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1330745F">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5F5D5756">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3B426D1C">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30B19DC8">
      <w:pPr>
        <w:pageBreakBefore w:val="0"/>
        <w:numPr>
          <w:ilvl w:val="0"/>
          <w:numId w:val="0"/>
        </w:numPr>
        <w:tabs>
          <w:tab w:val="left" w:pos="1236"/>
        </w:tabs>
        <w:wordWrap w:val="0"/>
        <w:autoSpaceDE/>
        <w:autoSpaceDN/>
        <w:bidi w:val="0"/>
        <w:snapToGrid/>
        <w:spacing w:line="360" w:lineRule="auto"/>
        <w:ind w:left="0" w:right="0" w:firstLine="0"/>
        <w:jc w:val="both"/>
        <w:outlineLvl w:val="9"/>
        <w:rPr>
          <w:rFonts w:hint="eastAsia" w:ascii="宋体" w:hAnsi="宋体" w:eastAsia="宋体" w:cs="宋体"/>
          <w:b/>
          <w:i w:val="0"/>
          <w:caps/>
          <w:color w:val="auto"/>
          <w:spacing w:val="0"/>
          <w:sz w:val="36"/>
          <w:szCs w:val="36"/>
          <w:lang w:val="en-US" w:eastAsia="zh-CN"/>
        </w:rPr>
      </w:pPr>
    </w:p>
    <w:p w14:paraId="31130302">
      <w:pPr>
        <w:pageBreakBefore w:val="0"/>
        <w:numPr>
          <w:ilvl w:val="0"/>
          <w:numId w:val="0"/>
        </w:numPr>
        <w:tabs>
          <w:tab w:val="left" w:pos="1236"/>
        </w:tabs>
        <w:wordWrap w:val="0"/>
        <w:autoSpaceDE/>
        <w:autoSpaceDN/>
        <w:bidi w:val="0"/>
        <w:snapToGrid/>
        <w:spacing w:line="360" w:lineRule="auto"/>
        <w:ind w:left="0" w:right="0" w:firstLine="0"/>
        <w:jc w:val="center"/>
        <w:outlineLvl w:val="9"/>
        <w:rPr>
          <w:rFonts w:hint="default" w:ascii="宋体" w:hAnsi="宋体" w:eastAsia="宋体" w:cs="宋体"/>
          <w:b/>
          <w:i w:val="0"/>
          <w:caps/>
          <w:color w:val="auto"/>
          <w:spacing w:val="0"/>
          <w:sz w:val="36"/>
          <w:szCs w:val="36"/>
          <w:lang w:val="en-US" w:eastAsia="zh-CN"/>
        </w:rPr>
      </w:pPr>
      <w:r>
        <w:rPr>
          <w:rFonts w:hint="eastAsia" w:ascii="宋体" w:hAnsi="宋体" w:eastAsia="宋体" w:cs="宋体"/>
          <w:b/>
          <w:i w:val="0"/>
          <w:caps/>
          <w:color w:val="auto"/>
          <w:spacing w:val="0"/>
          <w:sz w:val="36"/>
          <w:szCs w:val="36"/>
          <w:lang w:val="en-US" w:eastAsia="zh-CN"/>
        </w:rPr>
        <w:t>投标承诺书</w:t>
      </w:r>
    </w:p>
    <w:p w14:paraId="7C54A8F1">
      <w:pPr>
        <w:pageBreakBefore w:val="0"/>
        <w:numPr>
          <w:ilvl w:val="0"/>
          <w:numId w:val="0"/>
        </w:numPr>
        <w:tabs>
          <w:tab w:val="left" w:pos="1236"/>
        </w:tabs>
        <w:wordWrap w:val="0"/>
        <w:autoSpaceDE/>
        <w:autoSpaceDN/>
        <w:bidi w:val="0"/>
        <w:snapToGrid/>
        <w:spacing w:line="560" w:lineRule="exact"/>
        <w:ind w:left="0" w:right="0" w:firstLine="0"/>
        <w:jc w:val="left"/>
        <w:outlineLvl w:val="9"/>
        <w:rPr>
          <w:rFonts w:hint="default"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致：鄂尔多斯市中心医院</w:t>
      </w:r>
    </w:p>
    <w:p w14:paraId="63791CCA">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本投标人已详细阅读了</w:t>
      </w:r>
      <w:r>
        <w:rPr>
          <w:rFonts w:hint="eastAsia" w:ascii="宋体" w:hAnsi="宋体" w:eastAsia="宋体" w:cs="宋体"/>
          <w:b w:val="0"/>
          <w:i w:val="0"/>
          <w:caps/>
          <w:color w:val="auto"/>
          <w:spacing w:val="0"/>
          <w:sz w:val="24"/>
          <w:szCs w:val="24"/>
          <w:u w:val="single"/>
          <w:lang w:val="en-US" w:eastAsia="zh-CN"/>
        </w:rPr>
        <w:t xml:space="preserve">                   </w:t>
      </w:r>
      <w:r>
        <w:rPr>
          <w:rFonts w:hint="eastAsia" w:ascii="宋体" w:hAnsi="宋体" w:eastAsia="宋体" w:cs="宋体"/>
          <w:b w:val="0"/>
          <w:i w:val="0"/>
          <w:caps/>
          <w:color w:val="auto"/>
          <w:spacing w:val="0"/>
          <w:sz w:val="24"/>
          <w:szCs w:val="24"/>
          <w:lang w:val="en-US" w:eastAsia="zh-CN"/>
        </w:rPr>
        <w:t>项目招采公告及供应商须知等内容，自愿参加上述项目投标，现就有关事项向招标人郑重承诺如下：</w:t>
      </w:r>
    </w:p>
    <w:p w14:paraId="254ED7C7">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default"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1、自愿遵守有关政府采购、招标投标的法律法规规定，自觉维护市场秩序。如有违反，无条件接受相关部门的处罚；</w:t>
      </w:r>
    </w:p>
    <w:p w14:paraId="2C44FE80">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2、我方在此声明，本次招采活动中申报的所有资料都是真实、准确完整的，如发现提供虚假资料，或与事实不符而导致投标无效，甚至造成任何法律和经济职责，完全由我方负责；</w:t>
      </w:r>
    </w:p>
    <w:p w14:paraId="3AB31AF1">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3、我方在本次投标活动中绝无资质挂靠、串标、围标情形，若经贵方查出，立即取消我方投标资格并承担响应的法律职责；</w:t>
      </w:r>
    </w:p>
    <w:p w14:paraId="23C338CF">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default"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4、我方承诺在中标后不将招采项目转包、分包。否则，同意被取消中标资格，并愿意承担任何处罚。</w:t>
      </w:r>
    </w:p>
    <w:p w14:paraId="296EB910">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5、我方服从招采文件规定的时间安排，遵守招采有关会议现场纪律。否则，同意被废除投标资格并理解处罚。</w:t>
      </w:r>
    </w:p>
    <w:p w14:paraId="27EE8E91">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6、保证响应文件不存在低于成本的恶意报价行为，也不存在恶意抬高报价行为。</w:t>
      </w:r>
    </w:p>
    <w:p w14:paraId="2C2AD483">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7.我方一旦中标，将按规定及时与贵单位签订合同。</w:t>
      </w:r>
    </w:p>
    <w:p w14:paraId="717129F5">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p>
    <w:p w14:paraId="051CF546">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投标供应商：</w:t>
      </w:r>
      <w:r>
        <w:rPr>
          <w:rFonts w:hint="eastAsia" w:ascii="宋体" w:hAnsi="宋体" w:eastAsia="宋体" w:cs="宋体"/>
          <w:b/>
          <w:bCs/>
          <w:sz w:val="24"/>
          <w:szCs w:val="24"/>
          <w:u w:val="single"/>
        </w:rPr>
        <w:t xml:space="preserve">            </w:t>
      </w:r>
      <w:r>
        <w:rPr>
          <w:rFonts w:hint="eastAsia" w:ascii="宋体" w:hAnsi="宋体" w:eastAsia="宋体" w:cs="宋体"/>
          <w:b w:val="0"/>
          <w:i w:val="0"/>
          <w:caps/>
          <w:color w:val="auto"/>
          <w:spacing w:val="0"/>
          <w:sz w:val="24"/>
          <w:szCs w:val="24"/>
          <w:lang w:val="en-US" w:eastAsia="zh-CN"/>
        </w:rPr>
        <w:t>(盖公章)</w:t>
      </w:r>
    </w:p>
    <w:p w14:paraId="1F419A57">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p>
    <w:p w14:paraId="777BE3C0">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法定代表人(或授权委托人)：</w:t>
      </w:r>
      <w:r>
        <w:rPr>
          <w:rFonts w:hint="eastAsia" w:ascii="宋体" w:hAnsi="宋体" w:eastAsia="宋体" w:cs="宋体"/>
          <w:b/>
          <w:bCs/>
          <w:sz w:val="24"/>
          <w:szCs w:val="24"/>
          <w:u w:val="single"/>
        </w:rPr>
        <w:t xml:space="preserve">            </w:t>
      </w:r>
      <w:r>
        <w:rPr>
          <w:rFonts w:hint="eastAsia" w:ascii="宋体" w:hAnsi="宋体" w:eastAsia="宋体" w:cs="宋体"/>
          <w:b w:val="0"/>
          <w:i w:val="0"/>
          <w:caps/>
          <w:color w:val="auto"/>
          <w:spacing w:val="0"/>
          <w:sz w:val="24"/>
          <w:szCs w:val="24"/>
          <w:lang w:val="en-US" w:eastAsia="zh-CN"/>
        </w:rPr>
        <w:t>(签字)</w:t>
      </w:r>
    </w:p>
    <w:p w14:paraId="19227741">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p>
    <w:p w14:paraId="1B69DC4A">
      <w:pPr>
        <w:pageBreakBefore w:val="0"/>
        <w:numPr>
          <w:ilvl w:val="0"/>
          <w:numId w:val="0"/>
        </w:numPr>
        <w:tabs>
          <w:tab w:val="left" w:pos="1236"/>
        </w:tabs>
        <w:wordWrap w:val="0"/>
        <w:autoSpaceDE/>
        <w:autoSpaceDN/>
        <w:bidi w:val="0"/>
        <w:snapToGrid/>
        <w:spacing w:line="360" w:lineRule="auto"/>
        <w:ind w:left="0" w:right="0" w:firstLine="200"/>
        <w:jc w:val="left"/>
        <w:outlineLvl w:val="9"/>
        <w:rPr>
          <w:rFonts w:hint="eastAsia" w:ascii="宋体" w:hAnsi="宋体" w:eastAsia="宋体" w:cs="宋体"/>
          <w:b w:val="0"/>
          <w:i w:val="0"/>
          <w:caps/>
          <w:color w:val="auto"/>
          <w:spacing w:val="0"/>
          <w:sz w:val="24"/>
          <w:szCs w:val="24"/>
          <w:lang w:val="en-US" w:eastAsia="zh-CN"/>
        </w:rPr>
      </w:pPr>
      <w:r>
        <w:rPr>
          <w:rFonts w:hint="eastAsia" w:ascii="宋体" w:hAnsi="宋体" w:eastAsia="宋体" w:cs="宋体"/>
          <w:b w:val="0"/>
          <w:i w:val="0"/>
          <w:caps/>
          <w:color w:val="auto"/>
          <w:spacing w:val="0"/>
          <w:sz w:val="24"/>
          <w:szCs w:val="24"/>
          <w:lang w:val="en-US" w:eastAsia="zh-CN"/>
        </w:rPr>
        <w:t>日期：   年    月    日</w:t>
      </w:r>
    </w:p>
    <w:p w14:paraId="12CB0C0E">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557A8F1B">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31CA9907">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562C5805">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0DF327BF">
      <w:pPr>
        <w:numPr>
          <w:ilvl w:val="0"/>
          <w:numId w:val="0"/>
        </w:numPr>
        <w:spacing w:line="360" w:lineRule="auto"/>
        <w:ind w:left="0" w:right="0" w:firstLine="0"/>
        <w:jc w:val="both"/>
        <w:rPr>
          <w:rFonts w:hint="eastAsia" w:ascii="宋体" w:hAnsi="宋体" w:eastAsia="宋体" w:cs="宋体"/>
          <w:b w:val="0"/>
          <w:color w:val="000000"/>
          <w:sz w:val="24"/>
          <w:szCs w:val="24"/>
          <w:lang w:val="en-US" w:eastAsia="zh-CN" w:bidi="ar-SA"/>
        </w:rPr>
      </w:pPr>
    </w:p>
    <w:p w14:paraId="29D3D77E">
      <w:pPr>
        <w:keepNext w:val="0"/>
        <w:keepLines w:val="0"/>
        <w:pageBreakBefore w:val="0"/>
        <w:widowControl/>
        <w:numPr>
          <w:ilvl w:val="0"/>
          <w:numId w:val="5"/>
        </w:numPr>
        <w:kinsoku/>
        <w:wordWrap/>
        <w:overflowPunct/>
        <w:topLinePunct w:val="0"/>
        <w:autoSpaceDE/>
        <w:autoSpaceDN/>
        <w:bidi w:val="0"/>
        <w:adjustRightInd/>
        <w:snapToGrid/>
        <w:spacing w:line="360" w:lineRule="auto"/>
        <w:ind w:firstLine="562" w:firstLineChars="200"/>
        <w:jc w:val="both"/>
        <w:textAlignment w:val="auto"/>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开标一览表</w:t>
      </w:r>
    </w:p>
    <w:p w14:paraId="7AB39491">
      <w:pPr>
        <w:numPr>
          <w:ilvl w:val="0"/>
          <w:numId w:val="0"/>
        </w:numPr>
        <w:spacing w:line="360" w:lineRule="auto"/>
        <w:ind w:left="0" w:right="0" w:firstLine="0"/>
        <w:jc w:val="center"/>
        <w:rPr>
          <w:rFonts w:hint="eastAsia" w:ascii="宋体" w:hAnsi="宋体" w:eastAsia="宋体" w:cs="宋体"/>
          <w:b w:val="0"/>
          <w:color w:val="000000"/>
          <w:sz w:val="32"/>
          <w:szCs w:val="32"/>
          <w:lang w:val="en-US" w:eastAsia="zh-CN" w:bidi="ar-SA"/>
        </w:rPr>
      </w:pPr>
      <w:r>
        <w:rPr>
          <w:rFonts w:hint="eastAsia" w:ascii="宋体" w:hAnsi="宋体" w:eastAsia="宋体" w:cs="宋体"/>
          <w:b w:val="0"/>
          <w:color w:val="000000"/>
          <w:sz w:val="32"/>
          <w:szCs w:val="32"/>
          <w:lang w:val="en-US" w:eastAsia="zh-CN" w:bidi="ar-SA"/>
        </w:rPr>
        <w:t>开标一览表</w:t>
      </w:r>
    </w:p>
    <w:p w14:paraId="489C63C6">
      <w:pPr>
        <w:spacing w:line="360" w:lineRule="auto"/>
        <w:rPr>
          <w:rFonts w:hint="eastAsia" w:asciiTheme="majorHAnsi" w:hAnsiTheme="majorHAnsi" w:eastAsiaTheme="majorEastAsia" w:cstheme="minorBidi"/>
          <w:b/>
          <w:color w:val="000000"/>
          <w:sz w:val="32"/>
          <w:szCs w:val="32"/>
          <w:lang w:val="en-US" w:eastAsia="zh-CN" w:bidi="ar-SA"/>
        </w:rPr>
      </w:pPr>
    </w:p>
    <w:p w14:paraId="79DE4F61">
      <w:pPr>
        <w:spacing w:line="360" w:lineRule="auto"/>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投标供应商：</w:t>
      </w:r>
    </w:p>
    <w:p w14:paraId="6A1E1AC6">
      <w:pPr>
        <w:spacing w:line="360" w:lineRule="auto"/>
        <w:rPr>
          <w:rFonts w:hint="eastAsia" w:ascii="宋体" w:hAnsi="宋体" w:eastAsia="宋体" w:cs="宋体"/>
          <w:b/>
          <w:color w:val="000000"/>
          <w:sz w:val="24"/>
          <w:szCs w:val="24"/>
          <w:lang w:val="en-US" w:eastAsia="zh-CN" w:bidi="ar-SA"/>
        </w:rPr>
      </w:pPr>
      <w:r>
        <w:rPr>
          <w:rFonts w:hint="eastAsia" w:ascii="宋体" w:hAnsi="宋体" w:eastAsia="宋体" w:cs="宋体"/>
          <w:b w:val="0"/>
          <w:color w:val="000000"/>
          <w:sz w:val="24"/>
          <w:szCs w:val="24"/>
          <w:lang w:val="en-US" w:eastAsia="zh-CN" w:bidi="ar-SA"/>
        </w:rPr>
        <w:t>项目名称：</w:t>
      </w:r>
    </w:p>
    <w:tbl>
      <w:tblPr>
        <w:tblStyle w:val="13"/>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84"/>
        <w:gridCol w:w="2520"/>
        <w:gridCol w:w="2018"/>
      </w:tblGrid>
      <w:tr w14:paraId="12376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84" w:type="dxa"/>
            <w:vAlign w:val="center"/>
          </w:tcPr>
          <w:p w14:paraId="47A6DA96">
            <w:pPr>
              <w:spacing w:line="360" w:lineRule="auto"/>
              <w:jc w:val="center"/>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投标总报价（元）</w:t>
            </w:r>
          </w:p>
        </w:tc>
        <w:tc>
          <w:tcPr>
            <w:tcW w:w="2520" w:type="dxa"/>
            <w:vAlign w:val="center"/>
          </w:tcPr>
          <w:p w14:paraId="2C30420E">
            <w:pPr>
              <w:spacing w:line="360" w:lineRule="auto"/>
              <w:jc w:val="center"/>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交付使用时间</w:t>
            </w:r>
          </w:p>
        </w:tc>
        <w:tc>
          <w:tcPr>
            <w:tcW w:w="2018" w:type="dxa"/>
            <w:vAlign w:val="center"/>
          </w:tcPr>
          <w:p w14:paraId="57787682">
            <w:pPr>
              <w:spacing w:line="360" w:lineRule="auto"/>
              <w:jc w:val="center"/>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质保期（年）</w:t>
            </w:r>
          </w:p>
        </w:tc>
      </w:tr>
      <w:tr w14:paraId="622D4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4" w:hRule="atLeast"/>
        </w:trPr>
        <w:tc>
          <w:tcPr>
            <w:tcW w:w="3984" w:type="dxa"/>
            <w:vAlign w:val="center"/>
          </w:tcPr>
          <w:p w14:paraId="0382461D">
            <w:pPr>
              <w:spacing w:line="360" w:lineRule="auto"/>
              <w:jc w:val="center"/>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大写：</w:t>
            </w:r>
          </w:p>
        </w:tc>
        <w:tc>
          <w:tcPr>
            <w:tcW w:w="2520" w:type="dxa"/>
            <w:vMerge w:val="restart"/>
            <w:vAlign w:val="center"/>
          </w:tcPr>
          <w:p w14:paraId="70009D9F">
            <w:pPr>
              <w:spacing w:line="360" w:lineRule="auto"/>
              <w:jc w:val="center"/>
              <w:rPr>
                <w:rFonts w:hint="eastAsia" w:ascii="宋体" w:hAnsi="宋体" w:eastAsia="宋体" w:cs="宋体"/>
                <w:b w:val="0"/>
                <w:color w:val="000000"/>
                <w:sz w:val="24"/>
                <w:szCs w:val="24"/>
                <w:lang w:val="en-US" w:eastAsia="zh-CN" w:bidi="ar-SA"/>
              </w:rPr>
            </w:pPr>
          </w:p>
        </w:tc>
        <w:tc>
          <w:tcPr>
            <w:tcW w:w="2018" w:type="dxa"/>
            <w:vMerge w:val="restart"/>
            <w:vAlign w:val="center"/>
          </w:tcPr>
          <w:p w14:paraId="5087C78F">
            <w:pPr>
              <w:spacing w:line="360" w:lineRule="auto"/>
              <w:jc w:val="center"/>
              <w:rPr>
                <w:rFonts w:hint="eastAsia" w:ascii="宋体" w:hAnsi="宋体" w:eastAsia="宋体" w:cs="宋体"/>
                <w:b w:val="0"/>
                <w:color w:val="000000"/>
                <w:sz w:val="24"/>
                <w:szCs w:val="24"/>
                <w:lang w:val="en-US" w:eastAsia="zh-CN" w:bidi="ar-SA"/>
              </w:rPr>
            </w:pPr>
          </w:p>
        </w:tc>
      </w:tr>
      <w:tr w14:paraId="23F1C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9" w:hRule="atLeast"/>
        </w:trPr>
        <w:tc>
          <w:tcPr>
            <w:tcW w:w="3984" w:type="dxa"/>
            <w:vAlign w:val="center"/>
          </w:tcPr>
          <w:p w14:paraId="12587E13">
            <w:pPr>
              <w:spacing w:line="360" w:lineRule="auto"/>
              <w:jc w:val="center"/>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小写：</w:t>
            </w:r>
          </w:p>
        </w:tc>
        <w:tc>
          <w:tcPr>
            <w:tcW w:w="2520" w:type="dxa"/>
            <w:vMerge w:val="continue"/>
            <w:vAlign w:val="center"/>
          </w:tcPr>
          <w:p w14:paraId="26C3E57D"/>
        </w:tc>
        <w:tc>
          <w:tcPr>
            <w:tcW w:w="2018" w:type="dxa"/>
            <w:vMerge w:val="continue"/>
            <w:vAlign w:val="center"/>
          </w:tcPr>
          <w:p w14:paraId="255AC3BB"/>
        </w:tc>
      </w:tr>
    </w:tbl>
    <w:p w14:paraId="229976F7">
      <w:pPr>
        <w:spacing w:line="360" w:lineRule="auto"/>
        <w:rPr>
          <w:rFonts w:hint="eastAsia" w:asciiTheme="majorHAnsi" w:hAnsiTheme="majorHAnsi" w:eastAsiaTheme="majorEastAsia" w:cstheme="minorBidi"/>
          <w:b/>
          <w:color w:val="000000"/>
          <w:sz w:val="24"/>
          <w:szCs w:val="24"/>
          <w:lang w:val="en-US" w:eastAsia="zh-CN" w:bidi="ar-SA"/>
        </w:rPr>
      </w:pPr>
    </w:p>
    <w:p w14:paraId="712E4442">
      <w:pPr>
        <w:spacing w:line="360" w:lineRule="auto"/>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说明：1、所有价格均使用人民币表示，货币单位为元。</w:t>
      </w:r>
    </w:p>
    <w:p w14:paraId="142CF48B">
      <w:pPr>
        <w:spacing w:line="360" w:lineRule="auto"/>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 xml:space="preserve">      2、价格应按照“响应文件投标人报价”的要求报价。</w:t>
      </w:r>
    </w:p>
    <w:p w14:paraId="04E2F73D">
      <w:pPr>
        <w:spacing w:line="360" w:lineRule="auto"/>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 xml:space="preserve">      3、格式、内容和签署、盖章必须完整。</w:t>
      </w:r>
    </w:p>
    <w:p w14:paraId="35AD9A92">
      <w:pPr>
        <w:spacing w:line="360" w:lineRule="auto"/>
        <w:ind w:left="1400" w:hanging="1200"/>
        <w:rPr>
          <w:rFonts w:hint="default"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 xml:space="preserve">    4、《开标一览表》中所填写内容与响应文件中内容不一致的，以开标一览表为准。</w:t>
      </w:r>
    </w:p>
    <w:p w14:paraId="15549432">
      <w:pPr>
        <w:spacing w:line="360" w:lineRule="auto"/>
        <w:rPr>
          <w:rFonts w:hint="eastAsia" w:asciiTheme="majorHAnsi" w:hAnsiTheme="majorHAnsi" w:eastAsiaTheme="majorEastAsia" w:cstheme="minorBidi"/>
          <w:b/>
          <w:color w:val="000000"/>
          <w:sz w:val="24"/>
          <w:szCs w:val="24"/>
          <w:lang w:val="en-US" w:eastAsia="zh-CN" w:bidi="ar-SA"/>
        </w:rPr>
      </w:pPr>
    </w:p>
    <w:p w14:paraId="24348E6D">
      <w:pPr>
        <w:spacing w:line="360" w:lineRule="auto"/>
        <w:rPr>
          <w:rFonts w:hint="eastAsia" w:asciiTheme="majorHAnsi" w:hAnsiTheme="majorHAnsi" w:eastAsiaTheme="majorEastAsia" w:cstheme="minorBidi"/>
          <w:b/>
          <w:color w:val="000000"/>
          <w:sz w:val="24"/>
          <w:szCs w:val="24"/>
          <w:lang w:val="en-US" w:eastAsia="zh-CN" w:bidi="ar-SA"/>
        </w:rPr>
      </w:pPr>
    </w:p>
    <w:p w14:paraId="7346138F">
      <w:pPr>
        <w:spacing w:line="360" w:lineRule="auto"/>
        <w:ind w:firstLine="1400"/>
        <w:rPr>
          <w:rFonts w:hint="eastAsia" w:ascii="宋体" w:hAnsi="宋体" w:eastAsia="宋体" w:cs="宋体"/>
          <w:b w:val="0"/>
          <w:color w:val="000000"/>
          <w:sz w:val="24"/>
          <w:szCs w:val="24"/>
          <w:lang w:val="en-US" w:eastAsia="zh-CN" w:bidi="ar-SA"/>
        </w:rPr>
      </w:pPr>
    </w:p>
    <w:p w14:paraId="4D776783">
      <w:pPr>
        <w:spacing w:line="360" w:lineRule="auto"/>
        <w:ind w:firstLine="1400"/>
        <w:rPr>
          <w:rFonts w:hint="eastAsia" w:ascii="宋体" w:hAnsi="宋体" w:eastAsia="宋体" w:cs="宋体"/>
          <w:b w:val="0"/>
          <w:color w:val="000000"/>
          <w:sz w:val="24"/>
          <w:szCs w:val="24"/>
          <w:lang w:val="en-US" w:eastAsia="zh-CN" w:bidi="ar-SA"/>
        </w:rPr>
      </w:pPr>
    </w:p>
    <w:p w14:paraId="0E95F5DC">
      <w:pPr>
        <w:spacing w:line="360" w:lineRule="auto"/>
        <w:ind w:firstLine="3273" w:firstLineChars="1364"/>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法定代表人或授权委托人（签字）：</w:t>
      </w:r>
    </w:p>
    <w:p w14:paraId="5A8ADF42">
      <w:pPr>
        <w:spacing w:line="360" w:lineRule="auto"/>
        <w:ind w:firstLine="600"/>
        <w:rPr>
          <w:rFonts w:hint="eastAsia" w:ascii="宋体" w:hAnsi="宋体" w:eastAsia="宋体" w:cs="宋体"/>
          <w:b w:val="0"/>
          <w:color w:val="000000"/>
          <w:sz w:val="24"/>
          <w:szCs w:val="24"/>
          <w:lang w:val="en-US" w:eastAsia="zh-CN" w:bidi="ar-SA"/>
        </w:rPr>
      </w:pPr>
    </w:p>
    <w:p w14:paraId="3D28282E">
      <w:pPr>
        <w:spacing w:line="360" w:lineRule="auto"/>
        <w:ind w:firstLine="4101" w:firstLineChars="1709"/>
        <w:rPr>
          <w:rFonts w:hint="eastAsia" w:ascii="宋体" w:hAnsi="宋体" w:eastAsia="宋体" w:cs="宋体"/>
          <w:b w:val="0"/>
          <w:color w:val="000000"/>
          <w:sz w:val="24"/>
          <w:szCs w:val="24"/>
          <w:lang w:val="en-US" w:eastAsia="zh-CN" w:bidi="ar-SA"/>
        </w:rPr>
      </w:pPr>
      <w:r>
        <w:rPr>
          <w:rFonts w:hint="eastAsia" w:ascii="宋体" w:hAnsi="宋体" w:eastAsia="宋体" w:cs="宋体"/>
          <w:b w:val="0"/>
          <w:color w:val="000000"/>
          <w:sz w:val="24"/>
          <w:szCs w:val="24"/>
          <w:lang w:val="en-US" w:eastAsia="zh-CN" w:bidi="ar-SA"/>
        </w:rPr>
        <w:t>年     月     日</w:t>
      </w:r>
    </w:p>
    <w:p w14:paraId="1D546FC8">
      <w:pPr>
        <w:spacing w:line="360" w:lineRule="auto"/>
        <w:rPr>
          <w:rFonts w:hint="eastAsia" w:asciiTheme="majorHAnsi" w:hAnsiTheme="majorHAnsi" w:eastAsiaTheme="majorEastAsia" w:cstheme="minorBidi"/>
          <w:b/>
          <w:color w:val="000000"/>
          <w:sz w:val="32"/>
          <w:szCs w:val="32"/>
          <w:lang w:val="en-US" w:eastAsia="zh-CN" w:bidi="ar-SA"/>
        </w:rPr>
      </w:pPr>
    </w:p>
    <w:p w14:paraId="24D95819">
      <w:pPr>
        <w:spacing w:line="360" w:lineRule="auto"/>
        <w:rPr>
          <w:rFonts w:hint="eastAsia" w:asciiTheme="majorHAnsi" w:hAnsiTheme="majorHAnsi" w:eastAsiaTheme="majorEastAsia" w:cstheme="minorBidi"/>
          <w:b/>
          <w:color w:val="000000"/>
          <w:sz w:val="32"/>
          <w:szCs w:val="32"/>
          <w:lang w:val="en-US" w:eastAsia="zh-CN" w:bidi="ar-SA"/>
        </w:rPr>
      </w:pPr>
    </w:p>
    <w:p w14:paraId="08FACD78">
      <w:pPr>
        <w:spacing w:line="360" w:lineRule="auto"/>
        <w:rPr>
          <w:rFonts w:hint="eastAsia" w:asciiTheme="majorHAnsi" w:hAnsiTheme="majorHAnsi" w:eastAsiaTheme="majorEastAsia" w:cstheme="minorBidi"/>
          <w:b/>
          <w:color w:val="000000"/>
          <w:sz w:val="32"/>
          <w:szCs w:val="32"/>
          <w:lang w:val="en-US" w:eastAsia="zh-CN" w:bidi="ar-SA"/>
        </w:rPr>
      </w:pPr>
    </w:p>
    <w:p w14:paraId="5B094C8F">
      <w:pPr>
        <w:spacing w:line="360" w:lineRule="auto"/>
        <w:rPr>
          <w:rFonts w:hint="eastAsia" w:ascii="宋体" w:hAnsi="宋体" w:eastAsia="宋体" w:cs="宋体"/>
          <w:b/>
          <w:color w:val="000000"/>
          <w:sz w:val="32"/>
          <w:szCs w:val="32"/>
          <w:lang w:val="en-US" w:eastAsia="zh-CN" w:bidi="ar-SA"/>
        </w:rPr>
      </w:pPr>
      <w:r>
        <w:rPr>
          <w:rFonts w:hint="eastAsia" w:ascii="宋体" w:hAnsi="宋体" w:eastAsia="宋体" w:cs="宋体"/>
          <w:b/>
          <w:color w:val="000000"/>
          <w:sz w:val="32"/>
          <w:szCs w:val="32"/>
          <w:lang w:val="en-US" w:eastAsia="zh-CN" w:bidi="ar-SA"/>
        </w:rPr>
        <w:t>分项报价表（如有）</w:t>
      </w:r>
    </w:p>
    <w:p w14:paraId="696369E5">
      <w:pPr>
        <w:rPr>
          <w:rFonts w:ascii="宋体" w:hAnsi="宋体" w:eastAsia="宋体"/>
          <w:sz w:val="24"/>
          <w:szCs w:val="24"/>
          <w:lang w:val="zh-CN"/>
        </w:rPr>
      </w:pPr>
    </w:p>
    <w:p w14:paraId="11E490DF">
      <w:pPr>
        <w:rPr>
          <w:rFonts w:ascii="宋体" w:hAnsi="宋体" w:eastAsia="宋体"/>
          <w:sz w:val="24"/>
          <w:szCs w:val="24"/>
          <w:lang w:val="zh-CN"/>
        </w:rPr>
      </w:pPr>
    </w:p>
    <w:p w14:paraId="525132DD">
      <w:pPr>
        <w:rPr>
          <w:rFonts w:ascii="宋体" w:hAnsi="宋体" w:eastAsia="宋体"/>
          <w:sz w:val="24"/>
          <w:szCs w:val="24"/>
          <w:lang w:val="zh-CN"/>
        </w:rPr>
      </w:pPr>
    </w:p>
    <w:p w14:paraId="4710D811">
      <w:pPr>
        <w:rPr>
          <w:rFonts w:ascii="宋体" w:hAnsi="宋体" w:eastAsia="宋体"/>
          <w:sz w:val="24"/>
          <w:szCs w:val="24"/>
          <w:lang w:val="zh-CN"/>
        </w:rPr>
      </w:pPr>
    </w:p>
    <w:p w14:paraId="3073E2CF">
      <w:pPr>
        <w:rPr>
          <w:rFonts w:ascii="宋体" w:hAnsi="宋体" w:eastAsia="宋体"/>
          <w:sz w:val="24"/>
          <w:szCs w:val="24"/>
          <w:lang w:val="zh-CN"/>
        </w:rPr>
      </w:pPr>
    </w:p>
    <w:p w14:paraId="4313C3BC">
      <w:pPr>
        <w:rPr>
          <w:rFonts w:ascii="宋体" w:hAnsi="宋体" w:eastAsia="宋体"/>
          <w:sz w:val="24"/>
          <w:szCs w:val="24"/>
          <w:lang w:val="zh-CN"/>
        </w:rPr>
      </w:pPr>
    </w:p>
    <w:p w14:paraId="5694D5CF">
      <w:pPr>
        <w:rPr>
          <w:rFonts w:ascii="宋体" w:hAnsi="宋体" w:eastAsia="宋体"/>
          <w:sz w:val="24"/>
          <w:szCs w:val="24"/>
          <w:lang w:val="zh-CN"/>
        </w:rPr>
      </w:pPr>
    </w:p>
    <w:p w14:paraId="043BDB05">
      <w:pPr>
        <w:rPr>
          <w:rFonts w:ascii="宋体" w:hAnsi="宋体" w:eastAsia="宋体"/>
          <w:sz w:val="24"/>
          <w:szCs w:val="24"/>
          <w:lang w:val="zh-CN"/>
        </w:rPr>
      </w:pPr>
    </w:p>
    <w:p w14:paraId="0A5E95AA">
      <w:pPr>
        <w:rPr>
          <w:rFonts w:ascii="宋体" w:hAnsi="宋体" w:eastAsia="宋体"/>
          <w:sz w:val="24"/>
          <w:szCs w:val="24"/>
          <w:lang w:val="zh-CN"/>
        </w:rPr>
      </w:pPr>
    </w:p>
    <w:p w14:paraId="10285AD1">
      <w:pPr>
        <w:rPr>
          <w:rFonts w:ascii="宋体" w:hAnsi="宋体" w:eastAsia="宋体"/>
          <w:sz w:val="24"/>
          <w:szCs w:val="24"/>
          <w:lang w:val="zh-CN"/>
        </w:rPr>
      </w:pPr>
    </w:p>
    <w:p w14:paraId="0590C5A6">
      <w:pPr>
        <w:rPr>
          <w:rFonts w:ascii="宋体" w:hAnsi="宋体" w:eastAsia="宋体"/>
          <w:sz w:val="24"/>
          <w:szCs w:val="24"/>
          <w:lang w:val="zh-CN"/>
        </w:rPr>
      </w:pPr>
    </w:p>
    <w:p w14:paraId="719DAE51">
      <w:pPr>
        <w:rPr>
          <w:rFonts w:ascii="宋体" w:hAnsi="宋体" w:eastAsia="宋体"/>
          <w:sz w:val="24"/>
          <w:szCs w:val="24"/>
          <w:lang w:val="zh-CN"/>
        </w:rPr>
      </w:pPr>
    </w:p>
    <w:p w14:paraId="533DEA4D">
      <w:pPr>
        <w:rPr>
          <w:rFonts w:ascii="宋体" w:hAnsi="宋体" w:eastAsia="宋体"/>
          <w:sz w:val="24"/>
          <w:szCs w:val="24"/>
          <w:lang w:val="zh-CN"/>
        </w:rPr>
      </w:pPr>
    </w:p>
    <w:p w14:paraId="461C7AD7">
      <w:pPr>
        <w:rPr>
          <w:rFonts w:ascii="宋体" w:hAnsi="宋体" w:eastAsia="宋体"/>
          <w:sz w:val="24"/>
          <w:szCs w:val="24"/>
          <w:lang w:val="zh-CN"/>
        </w:rPr>
      </w:pPr>
    </w:p>
    <w:p w14:paraId="7562D0B9">
      <w:pPr>
        <w:rPr>
          <w:rFonts w:ascii="宋体" w:hAnsi="宋体" w:eastAsia="宋体"/>
          <w:sz w:val="24"/>
          <w:szCs w:val="24"/>
          <w:lang w:val="zh-CN"/>
        </w:rPr>
      </w:pPr>
    </w:p>
    <w:p w14:paraId="0D8288E3">
      <w:pPr>
        <w:rPr>
          <w:rFonts w:ascii="宋体" w:hAnsi="宋体" w:eastAsia="宋体"/>
          <w:sz w:val="24"/>
          <w:szCs w:val="24"/>
          <w:lang w:val="zh-CN"/>
        </w:rPr>
      </w:pPr>
    </w:p>
    <w:p w14:paraId="6670F2CD">
      <w:pPr>
        <w:rPr>
          <w:rFonts w:ascii="宋体" w:hAnsi="宋体" w:eastAsia="宋体"/>
          <w:sz w:val="24"/>
          <w:szCs w:val="24"/>
          <w:lang w:val="zh-CN"/>
        </w:rPr>
      </w:pPr>
    </w:p>
    <w:p w14:paraId="56886031">
      <w:pPr>
        <w:rPr>
          <w:rFonts w:ascii="宋体" w:hAnsi="宋体" w:eastAsia="宋体"/>
          <w:sz w:val="24"/>
          <w:szCs w:val="24"/>
          <w:lang w:val="zh-CN"/>
        </w:rPr>
      </w:pPr>
    </w:p>
    <w:p w14:paraId="211D4D8B">
      <w:pPr>
        <w:rPr>
          <w:rFonts w:ascii="宋体" w:hAnsi="宋体" w:eastAsia="宋体"/>
          <w:sz w:val="24"/>
          <w:szCs w:val="24"/>
          <w:lang w:val="zh-CN"/>
        </w:rPr>
      </w:pPr>
    </w:p>
    <w:p w14:paraId="2E4C73C4">
      <w:pPr>
        <w:rPr>
          <w:rFonts w:ascii="宋体" w:hAnsi="宋体" w:eastAsia="宋体"/>
          <w:sz w:val="24"/>
          <w:szCs w:val="24"/>
          <w:lang w:val="zh-CN"/>
        </w:rPr>
      </w:pPr>
    </w:p>
    <w:p w14:paraId="115D88A4">
      <w:pPr>
        <w:rPr>
          <w:rFonts w:ascii="宋体" w:hAnsi="宋体" w:eastAsia="宋体"/>
          <w:sz w:val="24"/>
          <w:szCs w:val="24"/>
          <w:lang w:val="zh-CN"/>
        </w:rPr>
      </w:pPr>
    </w:p>
    <w:p w14:paraId="37F9ACC1">
      <w:pPr>
        <w:rPr>
          <w:rFonts w:ascii="宋体" w:hAnsi="宋体" w:eastAsia="宋体"/>
          <w:sz w:val="24"/>
          <w:szCs w:val="24"/>
          <w:lang w:val="zh-CN"/>
        </w:rPr>
      </w:pPr>
    </w:p>
    <w:p w14:paraId="23C152B6">
      <w:pPr>
        <w:rPr>
          <w:rFonts w:ascii="宋体" w:hAnsi="宋体" w:eastAsia="宋体"/>
          <w:sz w:val="24"/>
          <w:szCs w:val="24"/>
          <w:lang w:val="zh-CN"/>
        </w:rPr>
      </w:pPr>
    </w:p>
    <w:p w14:paraId="7D0C150C">
      <w:pPr>
        <w:rPr>
          <w:rFonts w:ascii="宋体" w:hAnsi="宋体" w:eastAsia="宋体"/>
          <w:sz w:val="24"/>
          <w:szCs w:val="24"/>
          <w:lang w:val="zh-CN"/>
        </w:rPr>
      </w:pPr>
    </w:p>
    <w:p w14:paraId="7E9ABC1E">
      <w:pPr>
        <w:rPr>
          <w:rFonts w:ascii="宋体" w:hAnsi="宋体" w:eastAsia="宋体"/>
          <w:sz w:val="24"/>
          <w:szCs w:val="24"/>
          <w:lang w:val="zh-CN"/>
        </w:rPr>
      </w:pPr>
    </w:p>
    <w:p w14:paraId="2C84A53D">
      <w:pPr>
        <w:rPr>
          <w:rFonts w:ascii="宋体" w:hAnsi="宋体" w:eastAsia="宋体"/>
          <w:sz w:val="24"/>
          <w:szCs w:val="24"/>
          <w:lang w:val="zh-CN"/>
        </w:rPr>
      </w:pPr>
    </w:p>
    <w:p w14:paraId="729B191B">
      <w:pPr>
        <w:rPr>
          <w:rFonts w:ascii="宋体" w:hAnsi="宋体" w:eastAsia="宋体"/>
          <w:sz w:val="24"/>
          <w:szCs w:val="24"/>
          <w:lang w:val="zh-CN"/>
        </w:rPr>
      </w:pPr>
    </w:p>
    <w:p w14:paraId="0791C781">
      <w:pPr>
        <w:rPr>
          <w:rFonts w:ascii="宋体" w:hAnsi="宋体" w:eastAsia="宋体"/>
          <w:sz w:val="24"/>
          <w:szCs w:val="24"/>
          <w:lang w:val="zh-CN"/>
        </w:rPr>
      </w:pPr>
    </w:p>
    <w:p w14:paraId="260DBBD6">
      <w:pPr>
        <w:rPr>
          <w:rFonts w:ascii="宋体" w:hAnsi="宋体" w:eastAsia="宋体"/>
          <w:sz w:val="24"/>
          <w:szCs w:val="24"/>
          <w:lang w:val="zh-CN"/>
        </w:rPr>
      </w:pPr>
    </w:p>
    <w:p w14:paraId="63D3E4DA">
      <w:pPr>
        <w:rPr>
          <w:rFonts w:ascii="宋体" w:hAnsi="宋体" w:eastAsia="宋体"/>
          <w:sz w:val="24"/>
          <w:szCs w:val="24"/>
          <w:lang w:val="zh-CN"/>
        </w:rPr>
      </w:pPr>
    </w:p>
    <w:p w14:paraId="1BF7A4F8">
      <w:pPr>
        <w:rPr>
          <w:rFonts w:ascii="宋体" w:hAnsi="宋体" w:eastAsia="宋体"/>
          <w:sz w:val="24"/>
          <w:szCs w:val="24"/>
          <w:lang w:val="zh-CN"/>
        </w:rPr>
      </w:pPr>
    </w:p>
    <w:p w14:paraId="51A6D0B2">
      <w:pPr>
        <w:rPr>
          <w:rFonts w:ascii="宋体" w:hAnsi="宋体" w:eastAsia="宋体"/>
          <w:sz w:val="24"/>
          <w:szCs w:val="24"/>
          <w:lang w:val="zh-CN"/>
        </w:rPr>
      </w:pPr>
    </w:p>
    <w:p w14:paraId="5D03C053">
      <w:pPr>
        <w:rPr>
          <w:rFonts w:ascii="宋体" w:hAnsi="宋体" w:eastAsia="宋体"/>
          <w:sz w:val="24"/>
          <w:szCs w:val="24"/>
          <w:lang w:val="zh-CN"/>
        </w:rPr>
      </w:pPr>
    </w:p>
    <w:p w14:paraId="317B1F0D">
      <w:pPr>
        <w:rPr>
          <w:rFonts w:ascii="宋体" w:hAnsi="宋体" w:eastAsia="宋体"/>
          <w:sz w:val="24"/>
          <w:szCs w:val="24"/>
          <w:lang w:val="zh-CN"/>
        </w:rPr>
      </w:pPr>
    </w:p>
    <w:p w14:paraId="215CB28F">
      <w:pPr>
        <w:rPr>
          <w:rFonts w:ascii="宋体" w:hAnsi="宋体" w:eastAsia="宋体"/>
          <w:sz w:val="24"/>
          <w:szCs w:val="24"/>
          <w:lang w:val="zh-CN"/>
        </w:rPr>
      </w:pPr>
    </w:p>
    <w:p w14:paraId="3C616A44">
      <w:pPr>
        <w:rPr>
          <w:rFonts w:ascii="宋体" w:hAnsi="宋体" w:eastAsia="宋体"/>
          <w:sz w:val="24"/>
          <w:szCs w:val="24"/>
          <w:lang w:val="zh-CN"/>
        </w:rPr>
      </w:pPr>
    </w:p>
    <w:p w14:paraId="3B89DFF1">
      <w:pPr>
        <w:rPr>
          <w:rFonts w:ascii="宋体" w:hAnsi="宋体" w:eastAsia="宋体"/>
          <w:sz w:val="24"/>
          <w:szCs w:val="24"/>
          <w:lang w:val="zh-CN"/>
        </w:rPr>
      </w:pPr>
    </w:p>
    <w:p w14:paraId="054827B2">
      <w:pPr>
        <w:rPr>
          <w:rFonts w:ascii="宋体" w:hAnsi="宋体" w:eastAsia="宋体"/>
          <w:sz w:val="24"/>
          <w:szCs w:val="24"/>
          <w:lang w:val="zh-CN"/>
        </w:rPr>
      </w:pPr>
    </w:p>
    <w:p w14:paraId="4EC44706">
      <w:pPr>
        <w:rPr>
          <w:rFonts w:ascii="宋体" w:hAnsi="宋体" w:eastAsia="宋体"/>
          <w:sz w:val="24"/>
          <w:szCs w:val="24"/>
          <w:lang w:val="zh-CN"/>
        </w:rPr>
      </w:pPr>
    </w:p>
    <w:p w14:paraId="3358E61C">
      <w:pPr>
        <w:rPr>
          <w:rFonts w:ascii="宋体" w:hAnsi="宋体" w:eastAsia="宋体"/>
          <w:sz w:val="24"/>
          <w:szCs w:val="24"/>
          <w:lang w:val="zh-CN"/>
        </w:rPr>
      </w:pPr>
    </w:p>
    <w:p w14:paraId="0CE88752">
      <w:pPr>
        <w:rPr>
          <w:rFonts w:ascii="宋体" w:hAnsi="宋体" w:eastAsia="宋体"/>
          <w:sz w:val="24"/>
          <w:szCs w:val="24"/>
          <w:lang w:val="zh-CN"/>
        </w:rPr>
      </w:pPr>
    </w:p>
    <w:p w14:paraId="4296A079">
      <w:pPr>
        <w:rPr>
          <w:rFonts w:ascii="宋体" w:hAnsi="宋体" w:eastAsia="宋体"/>
          <w:sz w:val="24"/>
          <w:szCs w:val="24"/>
          <w:lang w:val="zh-CN"/>
        </w:rPr>
      </w:pPr>
    </w:p>
    <w:p w14:paraId="2B5819F4">
      <w:pPr>
        <w:keepNext w:val="0"/>
        <w:keepLines w:val="0"/>
        <w:pageBreakBefore w:val="0"/>
        <w:widowControl/>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b/>
          <w:color w:val="000000"/>
          <w:sz w:val="28"/>
          <w:szCs w:val="28"/>
        </w:rPr>
      </w:pPr>
      <w:r>
        <w:rPr>
          <w:rFonts w:hint="eastAsia" w:ascii="宋体" w:hAnsi="宋体" w:eastAsia="宋体"/>
          <w:b/>
          <w:color w:val="000000"/>
          <w:sz w:val="28"/>
          <w:szCs w:val="28"/>
          <w:lang w:val="en-US" w:eastAsia="zh-CN"/>
        </w:rPr>
        <w:t>三、</w:t>
      </w:r>
      <w:r>
        <w:rPr>
          <w:rFonts w:hint="eastAsia" w:ascii="宋体" w:hAnsi="宋体" w:eastAsia="宋体"/>
          <w:b/>
          <w:color w:val="000000"/>
          <w:sz w:val="28"/>
          <w:szCs w:val="28"/>
          <w:lang w:eastAsia="zh-CN"/>
        </w:rPr>
        <w:t>报名产品</w:t>
      </w:r>
      <w:r>
        <w:rPr>
          <w:rFonts w:hint="eastAsia" w:ascii="宋体" w:hAnsi="宋体" w:eastAsia="宋体"/>
          <w:b/>
          <w:color w:val="000000"/>
          <w:sz w:val="28"/>
          <w:szCs w:val="28"/>
        </w:rPr>
        <w:t>情况介绍表</w:t>
      </w:r>
    </w:p>
    <w:p w14:paraId="7B2AFD37">
      <w:pPr>
        <w:rPr>
          <w:rFonts w:ascii="宋体" w:hAnsi="宋体" w:eastAsia="宋体"/>
          <w:sz w:val="24"/>
          <w:szCs w:val="24"/>
          <w:lang w:val="zh-CN"/>
        </w:rPr>
      </w:pPr>
    </w:p>
    <w:p w14:paraId="413E4617">
      <w:pPr>
        <w:spacing w:line="360" w:lineRule="auto"/>
        <w:jc w:val="center"/>
        <w:rPr>
          <w:rFonts w:hint="eastAsia" w:ascii="宋体" w:hAnsi="宋体" w:eastAsia="宋体"/>
          <w:color w:val="000000"/>
          <w:sz w:val="24"/>
          <w:szCs w:val="24"/>
        </w:rPr>
      </w:pPr>
      <w:r>
        <w:rPr>
          <w:rFonts w:hint="eastAsia" w:ascii="宋体" w:hAnsi="宋体" w:eastAsia="宋体"/>
          <w:color w:val="000000"/>
          <w:sz w:val="24"/>
          <w:szCs w:val="24"/>
          <w:lang w:eastAsia="zh-CN"/>
        </w:rPr>
        <w:t>报名产品</w:t>
      </w:r>
      <w:r>
        <w:rPr>
          <w:rFonts w:hint="eastAsia" w:ascii="宋体" w:hAnsi="宋体" w:eastAsia="宋体"/>
          <w:color w:val="000000"/>
          <w:sz w:val="24"/>
          <w:szCs w:val="24"/>
        </w:rPr>
        <w:t>情况介绍表</w:t>
      </w:r>
    </w:p>
    <w:p w14:paraId="6A8AFFDA">
      <w:pPr>
        <w:spacing w:line="360" w:lineRule="auto"/>
        <w:jc w:val="center"/>
        <w:rPr>
          <w:rFonts w:hint="eastAsia" w:ascii="宋体" w:hAnsi="宋体" w:eastAsia="宋体"/>
          <w:color w:val="000000"/>
          <w:sz w:val="24"/>
          <w:szCs w:val="24"/>
        </w:rPr>
      </w:pPr>
    </w:p>
    <w:tbl>
      <w:tblPr>
        <w:tblStyle w:val="12"/>
        <w:tblW w:w="8296"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575"/>
        <w:gridCol w:w="1423"/>
        <w:gridCol w:w="851"/>
        <w:gridCol w:w="923"/>
        <w:gridCol w:w="1775"/>
        <w:gridCol w:w="1412"/>
        <w:gridCol w:w="1337"/>
      </w:tblGrid>
      <w:tr w14:paraId="3B56BBB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69207625">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序号</w:t>
            </w:r>
          </w:p>
        </w:tc>
        <w:tc>
          <w:tcPr>
            <w:tcW w:w="1423" w:type="dxa"/>
            <w:vAlign w:val="center"/>
          </w:tcPr>
          <w:p w14:paraId="6AA58EAB">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lang w:eastAsia="zh-CN"/>
              </w:rPr>
              <w:t>产品</w:t>
            </w:r>
            <w:r>
              <w:rPr>
                <w:rFonts w:hint="eastAsia" w:ascii="宋体" w:hAnsi="宋体" w:eastAsia="宋体"/>
                <w:color w:val="000000"/>
                <w:sz w:val="24"/>
                <w:szCs w:val="24"/>
              </w:rPr>
              <w:t>名称</w:t>
            </w:r>
          </w:p>
        </w:tc>
        <w:tc>
          <w:tcPr>
            <w:tcW w:w="851" w:type="dxa"/>
            <w:tcBorders>
              <w:right w:val="single" w:color="auto" w:sz="4" w:space="0"/>
            </w:tcBorders>
            <w:vAlign w:val="center"/>
          </w:tcPr>
          <w:p w14:paraId="5C5140A0">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品牌</w:t>
            </w:r>
          </w:p>
        </w:tc>
        <w:tc>
          <w:tcPr>
            <w:tcW w:w="923" w:type="dxa"/>
            <w:tcBorders>
              <w:left w:val="single" w:color="auto" w:sz="4" w:space="0"/>
            </w:tcBorders>
            <w:vAlign w:val="center"/>
          </w:tcPr>
          <w:p w14:paraId="620030A5">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型号</w:t>
            </w:r>
          </w:p>
        </w:tc>
        <w:tc>
          <w:tcPr>
            <w:tcW w:w="1775" w:type="dxa"/>
            <w:tcBorders>
              <w:right w:val="single" w:color="auto" w:sz="4" w:space="0"/>
            </w:tcBorders>
            <w:vAlign w:val="center"/>
          </w:tcPr>
          <w:p w14:paraId="10D0FE6F">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生产厂家</w:t>
            </w:r>
          </w:p>
        </w:tc>
        <w:tc>
          <w:tcPr>
            <w:tcW w:w="1412" w:type="dxa"/>
            <w:tcBorders>
              <w:left w:val="single" w:color="auto" w:sz="4" w:space="0"/>
              <w:right w:val="single" w:color="auto" w:sz="4" w:space="0"/>
            </w:tcBorders>
            <w:vAlign w:val="center"/>
          </w:tcPr>
          <w:p w14:paraId="2B4F5FB4">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产地</w:t>
            </w:r>
          </w:p>
        </w:tc>
        <w:tc>
          <w:tcPr>
            <w:tcW w:w="1337" w:type="dxa"/>
            <w:tcBorders>
              <w:left w:val="single" w:color="auto" w:sz="4" w:space="0"/>
            </w:tcBorders>
            <w:vAlign w:val="center"/>
          </w:tcPr>
          <w:p w14:paraId="3623F2EF">
            <w:pPr>
              <w:snapToGrid w:val="0"/>
              <w:spacing w:line="360" w:lineRule="auto"/>
              <w:jc w:val="center"/>
              <w:rPr>
                <w:rFonts w:ascii="宋体" w:hAnsi="宋体" w:eastAsia="宋体"/>
                <w:color w:val="000000"/>
                <w:sz w:val="24"/>
                <w:szCs w:val="24"/>
              </w:rPr>
            </w:pPr>
            <w:r>
              <w:rPr>
                <w:rFonts w:hint="eastAsia" w:ascii="宋体" w:hAnsi="宋体" w:eastAsia="宋体"/>
                <w:color w:val="000000"/>
                <w:sz w:val="24"/>
                <w:szCs w:val="24"/>
              </w:rPr>
              <w:t>备注</w:t>
            </w:r>
          </w:p>
        </w:tc>
      </w:tr>
      <w:tr w14:paraId="4A7ECDF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70F9CD05">
            <w:pPr>
              <w:snapToGrid w:val="0"/>
              <w:spacing w:line="360" w:lineRule="auto"/>
              <w:ind w:left="-185" w:leftChars="-88" w:firstLine="0"/>
              <w:jc w:val="center"/>
              <w:rPr>
                <w:rFonts w:ascii="宋体" w:hAnsi="宋体" w:eastAsia="宋体"/>
                <w:color w:val="000000"/>
                <w:sz w:val="24"/>
                <w:szCs w:val="24"/>
              </w:rPr>
            </w:pPr>
            <w:r>
              <w:rPr>
                <w:rFonts w:hint="eastAsia" w:ascii="宋体" w:hAnsi="宋体" w:eastAsia="宋体"/>
                <w:color w:val="000000"/>
                <w:sz w:val="24"/>
                <w:szCs w:val="24"/>
              </w:rPr>
              <w:t>1</w:t>
            </w:r>
          </w:p>
        </w:tc>
        <w:tc>
          <w:tcPr>
            <w:tcW w:w="1423" w:type="dxa"/>
            <w:vAlign w:val="center"/>
          </w:tcPr>
          <w:p w14:paraId="1082441B">
            <w:pPr>
              <w:snapToGrid w:val="0"/>
              <w:spacing w:line="360" w:lineRule="auto"/>
              <w:ind w:left="-185" w:leftChars="-88" w:firstLine="0"/>
              <w:jc w:val="center"/>
              <w:rPr>
                <w:rFonts w:ascii="宋体" w:hAnsi="宋体" w:eastAsia="宋体"/>
                <w:color w:val="000000"/>
                <w:sz w:val="24"/>
                <w:szCs w:val="24"/>
              </w:rPr>
            </w:pPr>
          </w:p>
        </w:tc>
        <w:tc>
          <w:tcPr>
            <w:tcW w:w="851" w:type="dxa"/>
            <w:tcBorders>
              <w:right w:val="single" w:color="auto" w:sz="4" w:space="0"/>
            </w:tcBorders>
            <w:vAlign w:val="top"/>
          </w:tcPr>
          <w:p w14:paraId="6D245C5D">
            <w:pPr>
              <w:snapToGrid w:val="0"/>
              <w:spacing w:line="360" w:lineRule="auto"/>
              <w:jc w:val="center"/>
              <w:rPr>
                <w:rFonts w:ascii="宋体" w:hAnsi="宋体" w:eastAsia="宋体"/>
                <w:color w:val="000000"/>
                <w:sz w:val="24"/>
                <w:szCs w:val="24"/>
              </w:rPr>
            </w:pPr>
          </w:p>
        </w:tc>
        <w:tc>
          <w:tcPr>
            <w:tcW w:w="923" w:type="dxa"/>
            <w:tcBorders>
              <w:left w:val="single" w:color="auto" w:sz="4" w:space="0"/>
            </w:tcBorders>
            <w:vAlign w:val="top"/>
          </w:tcPr>
          <w:p w14:paraId="71A97260">
            <w:pPr>
              <w:snapToGrid w:val="0"/>
              <w:spacing w:line="360" w:lineRule="auto"/>
              <w:jc w:val="center"/>
              <w:rPr>
                <w:rFonts w:ascii="宋体" w:hAnsi="宋体" w:eastAsia="宋体"/>
                <w:color w:val="000000"/>
                <w:sz w:val="24"/>
                <w:szCs w:val="24"/>
              </w:rPr>
            </w:pPr>
          </w:p>
        </w:tc>
        <w:tc>
          <w:tcPr>
            <w:tcW w:w="1775" w:type="dxa"/>
            <w:tcBorders>
              <w:right w:val="single" w:color="auto" w:sz="4" w:space="0"/>
            </w:tcBorders>
            <w:vAlign w:val="center"/>
          </w:tcPr>
          <w:p w14:paraId="4743BA06">
            <w:pPr>
              <w:snapToGrid w:val="0"/>
              <w:spacing w:line="360" w:lineRule="auto"/>
              <w:jc w:val="center"/>
              <w:rPr>
                <w:rFonts w:ascii="宋体" w:hAnsi="宋体" w:eastAsia="宋体"/>
                <w:color w:val="000000"/>
                <w:sz w:val="24"/>
                <w:szCs w:val="24"/>
              </w:rPr>
            </w:pPr>
          </w:p>
        </w:tc>
        <w:tc>
          <w:tcPr>
            <w:tcW w:w="1412" w:type="dxa"/>
            <w:tcBorders>
              <w:left w:val="single" w:color="auto" w:sz="4" w:space="0"/>
              <w:right w:val="single" w:color="auto" w:sz="4" w:space="0"/>
            </w:tcBorders>
            <w:vAlign w:val="center"/>
          </w:tcPr>
          <w:p w14:paraId="2F5228D0">
            <w:pPr>
              <w:snapToGrid w:val="0"/>
              <w:spacing w:line="360" w:lineRule="auto"/>
              <w:jc w:val="center"/>
              <w:rPr>
                <w:rFonts w:ascii="宋体" w:hAnsi="宋体" w:eastAsia="宋体"/>
                <w:color w:val="000000"/>
                <w:sz w:val="24"/>
                <w:szCs w:val="24"/>
              </w:rPr>
            </w:pPr>
          </w:p>
        </w:tc>
        <w:tc>
          <w:tcPr>
            <w:tcW w:w="1337" w:type="dxa"/>
            <w:tcBorders>
              <w:left w:val="single" w:color="auto" w:sz="4" w:space="0"/>
            </w:tcBorders>
            <w:vAlign w:val="top"/>
          </w:tcPr>
          <w:p w14:paraId="1F39CF4C">
            <w:pPr>
              <w:snapToGrid w:val="0"/>
              <w:spacing w:line="360" w:lineRule="auto"/>
              <w:jc w:val="center"/>
              <w:rPr>
                <w:rFonts w:ascii="宋体" w:hAnsi="宋体" w:eastAsia="宋体"/>
                <w:color w:val="000000"/>
                <w:sz w:val="24"/>
                <w:szCs w:val="24"/>
              </w:rPr>
            </w:pPr>
          </w:p>
        </w:tc>
      </w:tr>
      <w:tr w14:paraId="3FF5B39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0DDD4A41">
            <w:pPr>
              <w:snapToGrid w:val="0"/>
              <w:spacing w:line="360" w:lineRule="auto"/>
              <w:ind w:left="-185" w:leftChars="-88" w:firstLine="0"/>
              <w:jc w:val="center"/>
              <w:rPr>
                <w:rFonts w:ascii="宋体" w:hAnsi="宋体" w:eastAsia="宋体"/>
                <w:color w:val="000000"/>
                <w:sz w:val="24"/>
                <w:szCs w:val="24"/>
              </w:rPr>
            </w:pPr>
            <w:r>
              <w:rPr>
                <w:rFonts w:hint="eastAsia" w:ascii="宋体" w:hAnsi="宋体" w:eastAsia="宋体"/>
                <w:color w:val="000000"/>
                <w:sz w:val="24"/>
                <w:szCs w:val="24"/>
              </w:rPr>
              <w:t>2</w:t>
            </w:r>
          </w:p>
        </w:tc>
        <w:tc>
          <w:tcPr>
            <w:tcW w:w="1423" w:type="dxa"/>
            <w:vAlign w:val="center"/>
          </w:tcPr>
          <w:p w14:paraId="21D26D69">
            <w:pPr>
              <w:snapToGrid w:val="0"/>
              <w:spacing w:line="360" w:lineRule="auto"/>
              <w:ind w:left="-185" w:leftChars="-88" w:firstLine="0"/>
              <w:jc w:val="center"/>
              <w:rPr>
                <w:rFonts w:ascii="宋体" w:hAnsi="宋体" w:eastAsia="宋体"/>
                <w:color w:val="000000"/>
                <w:sz w:val="24"/>
                <w:szCs w:val="24"/>
              </w:rPr>
            </w:pPr>
          </w:p>
        </w:tc>
        <w:tc>
          <w:tcPr>
            <w:tcW w:w="851" w:type="dxa"/>
            <w:tcBorders>
              <w:right w:val="single" w:color="auto" w:sz="4" w:space="0"/>
            </w:tcBorders>
            <w:vAlign w:val="top"/>
          </w:tcPr>
          <w:p w14:paraId="180999F3">
            <w:pPr>
              <w:snapToGrid w:val="0"/>
              <w:spacing w:line="360" w:lineRule="auto"/>
              <w:jc w:val="center"/>
              <w:rPr>
                <w:rFonts w:ascii="宋体" w:hAnsi="宋体" w:eastAsia="宋体"/>
                <w:color w:val="000000"/>
                <w:sz w:val="24"/>
                <w:szCs w:val="24"/>
              </w:rPr>
            </w:pPr>
          </w:p>
        </w:tc>
        <w:tc>
          <w:tcPr>
            <w:tcW w:w="923" w:type="dxa"/>
            <w:tcBorders>
              <w:left w:val="single" w:color="auto" w:sz="4" w:space="0"/>
            </w:tcBorders>
            <w:vAlign w:val="top"/>
          </w:tcPr>
          <w:p w14:paraId="6206DA8A">
            <w:pPr>
              <w:snapToGrid w:val="0"/>
              <w:spacing w:line="360" w:lineRule="auto"/>
              <w:jc w:val="center"/>
              <w:rPr>
                <w:rFonts w:ascii="宋体" w:hAnsi="宋体" w:eastAsia="宋体"/>
                <w:color w:val="000000"/>
                <w:sz w:val="24"/>
                <w:szCs w:val="24"/>
              </w:rPr>
            </w:pPr>
          </w:p>
        </w:tc>
        <w:tc>
          <w:tcPr>
            <w:tcW w:w="1775" w:type="dxa"/>
            <w:tcBorders>
              <w:right w:val="single" w:color="auto" w:sz="4" w:space="0"/>
            </w:tcBorders>
            <w:vAlign w:val="center"/>
          </w:tcPr>
          <w:p w14:paraId="1CA52B6A">
            <w:pPr>
              <w:snapToGrid w:val="0"/>
              <w:spacing w:line="360" w:lineRule="auto"/>
              <w:jc w:val="center"/>
              <w:rPr>
                <w:rFonts w:ascii="宋体" w:hAnsi="宋体" w:eastAsia="宋体"/>
                <w:color w:val="000000"/>
                <w:sz w:val="24"/>
                <w:szCs w:val="24"/>
              </w:rPr>
            </w:pPr>
          </w:p>
        </w:tc>
        <w:tc>
          <w:tcPr>
            <w:tcW w:w="1412" w:type="dxa"/>
            <w:tcBorders>
              <w:left w:val="single" w:color="auto" w:sz="4" w:space="0"/>
              <w:right w:val="single" w:color="auto" w:sz="4" w:space="0"/>
            </w:tcBorders>
            <w:vAlign w:val="center"/>
          </w:tcPr>
          <w:p w14:paraId="209A2F9E">
            <w:pPr>
              <w:snapToGrid w:val="0"/>
              <w:spacing w:line="360" w:lineRule="auto"/>
              <w:jc w:val="center"/>
              <w:rPr>
                <w:rFonts w:ascii="宋体" w:hAnsi="宋体" w:eastAsia="宋体"/>
                <w:color w:val="000000"/>
                <w:sz w:val="24"/>
                <w:szCs w:val="24"/>
              </w:rPr>
            </w:pPr>
          </w:p>
        </w:tc>
        <w:tc>
          <w:tcPr>
            <w:tcW w:w="1337" w:type="dxa"/>
            <w:tcBorders>
              <w:left w:val="single" w:color="auto" w:sz="4" w:space="0"/>
            </w:tcBorders>
            <w:vAlign w:val="top"/>
          </w:tcPr>
          <w:p w14:paraId="25B40F1D">
            <w:pPr>
              <w:snapToGrid w:val="0"/>
              <w:spacing w:line="360" w:lineRule="auto"/>
              <w:jc w:val="center"/>
              <w:rPr>
                <w:rFonts w:ascii="宋体" w:hAnsi="宋体" w:eastAsia="宋体"/>
                <w:color w:val="000000"/>
                <w:sz w:val="24"/>
                <w:szCs w:val="24"/>
              </w:rPr>
            </w:pPr>
          </w:p>
        </w:tc>
      </w:tr>
      <w:tr w14:paraId="165DBFC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1BD4D5F6">
            <w:pPr>
              <w:snapToGrid w:val="0"/>
              <w:spacing w:line="360" w:lineRule="auto"/>
              <w:ind w:left="-185" w:leftChars="-88" w:firstLine="0"/>
              <w:jc w:val="center"/>
              <w:rPr>
                <w:rFonts w:ascii="宋体" w:hAnsi="宋体" w:eastAsia="宋体"/>
                <w:color w:val="000000"/>
                <w:sz w:val="24"/>
                <w:szCs w:val="24"/>
              </w:rPr>
            </w:pPr>
            <w:r>
              <w:rPr>
                <w:rFonts w:hint="eastAsia" w:ascii="宋体" w:hAnsi="宋体" w:eastAsia="宋体"/>
                <w:color w:val="000000"/>
                <w:sz w:val="24"/>
                <w:szCs w:val="24"/>
              </w:rPr>
              <w:t>3</w:t>
            </w:r>
          </w:p>
        </w:tc>
        <w:tc>
          <w:tcPr>
            <w:tcW w:w="1423" w:type="dxa"/>
            <w:vAlign w:val="center"/>
          </w:tcPr>
          <w:p w14:paraId="5AEC0BE6">
            <w:pPr>
              <w:snapToGrid w:val="0"/>
              <w:spacing w:line="360" w:lineRule="auto"/>
              <w:ind w:left="-185" w:leftChars="-88" w:firstLine="0"/>
              <w:jc w:val="center"/>
              <w:rPr>
                <w:rFonts w:ascii="宋体" w:hAnsi="宋体" w:eastAsia="宋体"/>
                <w:color w:val="000000"/>
                <w:sz w:val="24"/>
                <w:szCs w:val="24"/>
              </w:rPr>
            </w:pPr>
          </w:p>
        </w:tc>
        <w:tc>
          <w:tcPr>
            <w:tcW w:w="851" w:type="dxa"/>
            <w:tcBorders>
              <w:right w:val="single" w:color="auto" w:sz="4" w:space="0"/>
            </w:tcBorders>
            <w:vAlign w:val="top"/>
          </w:tcPr>
          <w:p w14:paraId="58B9267D">
            <w:pPr>
              <w:snapToGrid w:val="0"/>
              <w:spacing w:line="360" w:lineRule="auto"/>
              <w:jc w:val="center"/>
              <w:rPr>
                <w:rFonts w:ascii="宋体" w:hAnsi="宋体" w:eastAsia="宋体"/>
                <w:color w:val="000000"/>
                <w:sz w:val="24"/>
                <w:szCs w:val="24"/>
              </w:rPr>
            </w:pPr>
          </w:p>
        </w:tc>
        <w:tc>
          <w:tcPr>
            <w:tcW w:w="923" w:type="dxa"/>
            <w:tcBorders>
              <w:left w:val="single" w:color="auto" w:sz="4" w:space="0"/>
            </w:tcBorders>
            <w:vAlign w:val="top"/>
          </w:tcPr>
          <w:p w14:paraId="6905AF2B">
            <w:pPr>
              <w:snapToGrid w:val="0"/>
              <w:spacing w:line="360" w:lineRule="auto"/>
              <w:jc w:val="center"/>
              <w:rPr>
                <w:rFonts w:ascii="宋体" w:hAnsi="宋体" w:eastAsia="宋体"/>
                <w:color w:val="000000"/>
                <w:sz w:val="24"/>
                <w:szCs w:val="24"/>
              </w:rPr>
            </w:pPr>
          </w:p>
        </w:tc>
        <w:tc>
          <w:tcPr>
            <w:tcW w:w="1775" w:type="dxa"/>
            <w:tcBorders>
              <w:right w:val="single" w:color="auto" w:sz="4" w:space="0"/>
            </w:tcBorders>
            <w:vAlign w:val="center"/>
          </w:tcPr>
          <w:p w14:paraId="2237B9C3">
            <w:pPr>
              <w:snapToGrid w:val="0"/>
              <w:spacing w:line="360" w:lineRule="auto"/>
              <w:jc w:val="center"/>
              <w:rPr>
                <w:rFonts w:ascii="宋体" w:hAnsi="宋体" w:eastAsia="宋体"/>
                <w:color w:val="000000"/>
                <w:sz w:val="24"/>
                <w:szCs w:val="24"/>
              </w:rPr>
            </w:pPr>
          </w:p>
        </w:tc>
        <w:tc>
          <w:tcPr>
            <w:tcW w:w="1412" w:type="dxa"/>
            <w:tcBorders>
              <w:left w:val="single" w:color="auto" w:sz="4" w:space="0"/>
              <w:right w:val="single" w:color="auto" w:sz="4" w:space="0"/>
            </w:tcBorders>
            <w:vAlign w:val="center"/>
          </w:tcPr>
          <w:p w14:paraId="7412D661">
            <w:pPr>
              <w:snapToGrid w:val="0"/>
              <w:spacing w:line="360" w:lineRule="auto"/>
              <w:jc w:val="center"/>
              <w:rPr>
                <w:rFonts w:ascii="宋体" w:hAnsi="宋体" w:eastAsia="宋体"/>
                <w:color w:val="000000"/>
                <w:sz w:val="24"/>
                <w:szCs w:val="24"/>
              </w:rPr>
            </w:pPr>
          </w:p>
        </w:tc>
        <w:tc>
          <w:tcPr>
            <w:tcW w:w="1337" w:type="dxa"/>
            <w:tcBorders>
              <w:left w:val="single" w:color="auto" w:sz="4" w:space="0"/>
            </w:tcBorders>
            <w:vAlign w:val="top"/>
          </w:tcPr>
          <w:p w14:paraId="4F7CEFBF">
            <w:pPr>
              <w:snapToGrid w:val="0"/>
              <w:spacing w:line="360" w:lineRule="auto"/>
              <w:jc w:val="center"/>
              <w:rPr>
                <w:rFonts w:ascii="宋体" w:hAnsi="宋体" w:eastAsia="宋体"/>
                <w:color w:val="000000"/>
                <w:sz w:val="24"/>
                <w:szCs w:val="24"/>
              </w:rPr>
            </w:pPr>
          </w:p>
        </w:tc>
      </w:tr>
      <w:tr w14:paraId="7308DB7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24289DA7">
            <w:pPr>
              <w:snapToGrid w:val="0"/>
              <w:spacing w:line="360" w:lineRule="auto"/>
              <w:ind w:left="-185" w:leftChars="-88" w:firstLine="0"/>
              <w:jc w:val="center"/>
              <w:rPr>
                <w:rFonts w:ascii="宋体" w:hAnsi="宋体" w:eastAsia="宋体"/>
                <w:color w:val="000000"/>
                <w:sz w:val="24"/>
                <w:szCs w:val="24"/>
              </w:rPr>
            </w:pPr>
            <w:r>
              <w:rPr>
                <w:rFonts w:hint="eastAsia" w:ascii="宋体" w:hAnsi="宋体" w:eastAsia="宋体"/>
                <w:color w:val="000000"/>
                <w:sz w:val="24"/>
                <w:szCs w:val="24"/>
              </w:rPr>
              <w:t>4</w:t>
            </w:r>
          </w:p>
        </w:tc>
        <w:tc>
          <w:tcPr>
            <w:tcW w:w="1423" w:type="dxa"/>
            <w:vAlign w:val="center"/>
          </w:tcPr>
          <w:p w14:paraId="7C869503">
            <w:pPr>
              <w:snapToGrid w:val="0"/>
              <w:spacing w:line="360" w:lineRule="auto"/>
              <w:ind w:left="-185" w:leftChars="-88" w:firstLine="0"/>
              <w:jc w:val="center"/>
              <w:rPr>
                <w:rFonts w:ascii="宋体" w:hAnsi="宋体" w:eastAsia="宋体"/>
                <w:color w:val="000000"/>
                <w:sz w:val="24"/>
                <w:szCs w:val="24"/>
              </w:rPr>
            </w:pPr>
          </w:p>
        </w:tc>
        <w:tc>
          <w:tcPr>
            <w:tcW w:w="851" w:type="dxa"/>
            <w:tcBorders>
              <w:right w:val="single" w:color="auto" w:sz="4" w:space="0"/>
            </w:tcBorders>
            <w:vAlign w:val="top"/>
          </w:tcPr>
          <w:p w14:paraId="72CD2A27">
            <w:pPr>
              <w:snapToGrid w:val="0"/>
              <w:spacing w:line="360" w:lineRule="auto"/>
              <w:jc w:val="center"/>
              <w:rPr>
                <w:rFonts w:ascii="宋体" w:hAnsi="宋体" w:eastAsia="宋体"/>
                <w:color w:val="000000"/>
                <w:sz w:val="24"/>
                <w:szCs w:val="24"/>
              </w:rPr>
            </w:pPr>
          </w:p>
        </w:tc>
        <w:tc>
          <w:tcPr>
            <w:tcW w:w="923" w:type="dxa"/>
            <w:tcBorders>
              <w:left w:val="single" w:color="auto" w:sz="4" w:space="0"/>
            </w:tcBorders>
            <w:vAlign w:val="top"/>
          </w:tcPr>
          <w:p w14:paraId="01481CB2">
            <w:pPr>
              <w:snapToGrid w:val="0"/>
              <w:spacing w:line="360" w:lineRule="auto"/>
              <w:jc w:val="center"/>
              <w:rPr>
                <w:rFonts w:ascii="宋体" w:hAnsi="宋体" w:eastAsia="宋体"/>
                <w:color w:val="000000"/>
                <w:sz w:val="24"/>
                <w:szCs w:val="24"/>
              </w:rPr>
            </w:pPr>
          </w:p>
        </w:tc>
        <w:tc>
          <w:tcPr>
            <w:tcW w:w="1775" w:type="dxa"/>
            <w:tcBorders>
              <w:right w:val="single" w:color="auto" w:sz="4" w:space="0"/>
            </w:tcBorders>
            <w:vAlign w:val="center"/>
          </w:tcPr>
          <w:p w14:paraId="221B80ED">
            <w:pPr>
              <w:snapToGrid w:val="0"/>
              <w:spacing w:line="360" w:lineRule="auto"/>
              <w:jc w:val="center"/>
              <w:rPr>
                <w:rFonts w:ascii="宋体" w:hAnsi="宋体" w:eastAsia="宋体"/>
                <w:color w:val="000000"/>
                <w:sz w:val="24"/>
                <w:szCs w:val="24"/>
              </w:rPr>
            </w:pPr>
          </w:p>
        </w:tc>
        <w:tc>
          <w:tcPr>
            <w:tcW w:w="1412" w:type="dxa"/>
            <w:tcBorders>
              <w:left w:val="single" w:color="auto" w:sz="4" w:space="0"/>
              <w:right w:val="single" w:color="auto" w:sz="4" w:space="0"/>
            </w:tcBorders>
            <w:vAlign w:val="center"/>
          </w:tcPr>
          <w:p w14:paraId="18E8B399">
            <w:pPr>
              <w:snapToGrid w:val="0"/>
              <w:spacing w:line="360" w:lineRule="auto"/>
              <w:jc w:val="center"/>
              <w:rPr>
                <w:rFonts w:ascii="宋体" w:hAnsi="宋体" w:eastAsia="宋体"/>
                <w:color w:val="000000"/>
                <w:sz w:val="24"/>
                <w:szCs w:val="24"/>
              </w:rPr>
            </w:pPr>
          </w:p>
        </w:tc>
        <w:tc>
          <w:tcPr>
            <w:tcW w:w="1337" w:type="dxa"/>
            <w:tcBorders>
              <w:left w:val="single" w:color="auto" w:sz="4" w:space="0"/>
            </w:tcBorders>
            <w:vAlign w:val="top"/>
          </w:tcPr>
          <w:p w14:paraId="035F7F41">
            <w:pPr>
              <w:snapToGrid w:val="0"/>
              <w:spacing w:line="360" w:lineRule="auto"/>
              <w:jc w:val="center"/>
              <w:rPr>
                <w:rFonts w:ascii="宋体" w:hAnsi="宋体" w:eastAsia="宋体"/>
                <w:color w:val="000000"/>
                <w:sz w:val="24"/>
                <w:szCs w:val="24"/>
              </w:rPr>
            </w:pPr>
          </w:p>
        </w:tc>
      </w:tr>
      <w:tr w14:paraId="5C6372B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6662AD53">
            <w:pPr>
              <w:snapToGrid w:val="0"/>
              <w:spacing w:line="360" w:lineRule="auto"/>
              <w:ind w:left="-185" w:leftChars="-88" w:firstLine="0"/>
              <w:jc w:val="center"/>
              <w:rPr>
                <w:rFonts w:ascii="宋体" w:hAnsi="宋体" w:eastAsia="宋体"/>
                <w:color w:val="000000"/>
                <w:sz w:val="24"/>
                <w:szCs w:val="24"/>
              </w:rPr>
            </w:pPr>
            <w:r>
              <w:rPr>
                <w:rFonts w:hint="eastAsia" w:ascii="宋体" w:hAnsi="宋体" w:eastAsia="宋体"/>
                <w:color w:val="000000"/>
                <w:sz w:val="24"/>
                <w:szCs w:val="24"/>
              </w:rPr>
              <w:t>…</w:t>
            </w:r>
          </w:p>
        </w:tc>
        <w:tc>
          <w:tcPr>
            <w:tcW w:w="1423" w:type="dxa"/>
            <w:vAlign w:val="center"/>
          </w:tcPr>
          <w:p w14:paraId="697FD3EC">
            <w:pPr>
              <w:snapToGrid w:val="0"/>
              <w:spacing w:line="360" w:lineRule="auto"/>
              <w:ind w:left="-185" w:leftChars="-88" w:firstLine="0"/>
              <w:jc w:val="center"/>
              <w:rPr>
                <w:rFonts w:ascii="宋体" w:hAnsi="宋体" w:eastAsia="宋体"/>
                <w:color w:val="000000"/>
                <w:sz w:val="24"/>
                <w:szCs w:val="24"/>
              </w:rPr>
            </w:pPr>
          </w:p>
        </w:tc>
        <w:tc>
          <w:tcPr>
            <w:tcW w:w="851" w:type="dxa"/>
            <w:tcBorders>
              <w:right w:val="single" w:color="auto" w:sz="4" w:space="0"/>
            </w:tcBorders>
            <w:vAlign w:val="top"/>
          </w:tcPr>
          <w:p w14:paraId="74B675E2">
            <w:pPr>
              <w:snapToGrid w:val="0"/>
              <w:spacing w:line="360" w:lineRule="auto"/>
              <w:jc w:val="center"/>
              <w:rPr>
                <w:rFonts w:ascii="宋体" w:hAnsi="宋体" w:eastAsia="宋体"/>
                <w:color w:val="000000"/>
                <w:sz w:val="24"/>
                <w:szCs w:val="24"/>
              </w:rPr>
            </w:pPr>
          </w:p>
        </w:tc>
        <w:tc>
          <w:tcPr>
            <w:tcW w:w="923" w:type="dxa"/>
            <w:tcBorders>
              <w:left w:val="single" w:color="auto" w:sz="4" w:space="0"/>
            </w:tcBorders>
            <w:vAlign w:val="top"/>
          </w:tcPr>
          <w:p w14:paraId="1737819D">
            <w:pPr>
              <w:snapToGrid w:val="0"/>
              <w:spacing w:line="360" w:lineRule="auto"/>
              <w:jc w:val="center"/>
              <w:rPr>
                <w:rFonts w:ascii="宋体" w:hAnsi="宋体" w:eastAsia="宋体"/>
                <w:color w:val="000000"/>
                <w:sz w:val="24"/>
                <w:szCs w:val="24"/>
              </w:rPr>
            </w:pPr>
          </w:p>
        </w:tc>
        <w:tc>
          <w:tcPr>
            <w:tcW w:w="1775" w:type="dxa"/>
            <w:tcBorders>
              <w:right w:val="single" w:color="auto" w:sz="4" w:space="0"/>
            </w:tcBorders>
            <w:vAlign w:val="center"/>
          </w:tcPr>
          <w:p w14:paraId="1BD530DE">
            <w:pPr>
              <w:snapToGrid w:val="0"/>
              <w:spacing w:line="360" w:lineRule="auto"/>
              <w:jc w:val="center"/>
              <w:rPr>
                <w:rFonts w:ascii="宋体" w:hAnsi="宋体" w:eastAsia="宋体"/>
                <w:color w:val="000000"/>
                <w:sz w:val="24"/>
                <w:szCs w:val="24"/>
              </w:rPr>
            </w:pPr>
          </w:p>
        </w:tc>
        <w:tc>
          <w:tcPr>
            <w:tcW w:w="1412" w:type="dxa"/>
            <w:tcBorders>
              <w:left w:val="single" w:color="auto" w:sz="4" w:space="0"/>
              <w:right w:val="single" w:color="auto" w:sz="4" w:space="0"/>
            </w:tcBorders>
            <w:vAlign w:val="center"/>
          </w:tcPr>
          <w:p w14:paraId="7AAAF68C">
            <w:pPr>
              <w:snapToGrid w:val="0"/>
              <w:spacing w:line="360" w:lineRule="auto"/>
              <w:jc w:val="center"/>
              <w:rPr>
                <w:rFonts w:ascii="宋体" w:hAnsi="宋体" w:eastAsia="宋体"/>
                <w:color w:val="000000"/>
                <w:sz w:val="24"/>
                <w:szCs w:val="24"/>
              </w:rPr>
            </w:pPr>
          </w:p>
        </w:tc>
        <w:tc>
          <w:tcPr>
            <w:tcW w:w="1337" w:type="dxa"/>
            <w:tcBorders>
              <w:left w:val="single" w:color="auto" w:sz="4" w:space="0"/>
            </w:tcBorders>
            <w:vAlign w:val="top"/>
          </w:tcPr>
          <w:p w14:paraId="59DD409C">
            <w:pPr>
              <w:snapToGrid w:val="0"/>
              <w:spacing w:line="360" w:lineRule="auto"/>
              <w:jc w:val="center"/>
              <w:rPr>
                <w:rFonts w:ascii="宋体" w:hAnsi="宋体" w:eastAsia="宋体"/>
                <w:color w:val="000000"/>
                <w:sz w:val="24"/>
                <w:szCs w:val="24"/>
              </w:rPr>
            </w:pPr>
          </w:p>
        </w:tc>
      </w:tr>
    </w:tbl>
    <w:p w14:paraId="300650E3"/>
    <w:p w14:paraId="73383289">
      <w:pPr>
        <w:rPr>
          <w:rFonts w:ascii="宋体" w:hAnsi="宋体" w:eastAsia="宋体"/>
          <w:sz w:val="24"/>
          <w:szCs w:val="24"/>
          <w:lang w:val="zh-CN"/>
        </w:rPr>
      </w:pPr>
      <w:r>
        <w:br w:type="page"/>
      </w:r>
    </w:p>
    <w:p w14:paraId="70D01061">
      <w:pPr>
        <w:keepNext w:val="0"/>
        <w:keepLines w:val="0"/>
        <w:pageBreakBefore w:val="0"/>
        <w:widowControl/>
        <w:numPr>
          <w:ilvl w:val="0"/>
          <w:numId w:val="0"/>
        </w:numPr>
        <w:kinsoku/>
        <w:wordWrap/>
        <w:overflowPunct/>
        <w:topLinePunct w:val="0"/>
        <w:autoSpaceDE/>
        <w:autoSpaceDN/>
        <w:bidi w:val="0"/>
        <w:adjustRightInd/>
        <w:snapToGrid/>
        <w:ind w:leftChars="0" w:firstLine="562" w:firstLineChars="200"/>
        <w:textAlignment w:val="auto"/>
        <w:rPr>
          <w:rFonts w:hint="eastAsia" w:ascii="宋体" w:hAnsi="宋体" w:eastAsia="宋体"/>
          <w:b/>
          <w:bCs/>
          <w:sz w:val="30"/>
          <w:szCs w:val="30"/>
          <w:lang w:val="en-US" w:eastAsia="zh-CN"/>
        </w:rPr>
      </w:pPr>
      <w:r>
        <w:rPr>
          <w:rFonts w:hint="eastAsia" w:ascii="宋体" w:hAnsi="宋体" w:eastAsia="宋体" w:cs="宋体"/>
          <w:b/>
          <w:bCs w:val="0"/>
          <w:color w:val="000000"/>
          <w:sz w:val="28"/>
          <w:szCs w:val="28"/>
          <w:lang w:val="en-US" w:eastAsia="zh-CN" w:bidi="ar-SA"/>
        </w:rPr>
        <w:t>四、</w:t>
      </w:r>
      <w:r>
        <w:rPr>
          <w:rFonts w:hint="eastAsia" w:ascii="宋体" w:hAnsi="宋体" w:eastAsia="宋体"/>
          <w:b/>
          <w:bCs/>
          <w:sz w:val="30"/>
          <w:szCs w:val="30"/>
          <w:lang w:val="en-US" w:eastAsia="zh-CN"/>
        </w:rPr>
        <w:t>法定代表人身份证明及授权委托人身份证明</w:t>
      </w:r>
    </w:p>
    <w:p w14:paraId="624C008D">
      <w:pPr>
        <w:numPr>
          <w:ilvl w:val="0"/>
          <w:numId w:val="0"/>
        </w:numPr>
        <w:ind w:leftChars="0"/>
        <w:rPr>
          <w:rFonts w:hint="default" w:ascii="宋体" w:hAnsi="宋体" w:eastAsia="宋体"/>
          <w:sz w:val="24"/>
          <w:szCs w:val="24"/>
          <w:lang w:val="en-US" w:eastAsia="zh-CN"/>
        </w:rPr>
      </w:pPr>
    </w:p>
    <w:p w14:paraId="401DB26D">
      <w:pPr>
        <w:jc w:val="center"/>
        <w:rPr>
          <w:rFonts w:ascii="宋体" w:hAnsi="宋体" w:eastAsia="宋体"/>
          <w:b w:val="0"/>
          <w:bCs w:val="0"/>
          <w:sz w:val="30"/>
          <w:szCs w:val="30"/>
        </w:rPr>
      </w:pPr>
      <w:r>
        <w:rPr>
          <w:rFonts w:hint="eastAsia" w:ascii="宋体" w:hAnsi="宋体" w:eastAsia="宋体"/>
          <w:b w:val="0"/>
          <w:bCs w:val="0"/>
          <w:sz w:val="30"/>
          <w:szCs w:val="30"/>
        </w:rPr>
        <w:t>法定代表人身份证明</w:t>
      </w:r>
    </w:p>
    <w:p w14:paraId="279B5E00">
      <w:pPr>
        <w:rPr>
          <w:rFonts w:ascii="宋体" w:hAnsi="宋体" w:eastAsia="宋体"/>
          <w:b w:val="0"/>
          <w:bCs w:val="0"/>
          <w:sz w:val="24"/>
        </w:rPr>
      </w:pPr>
    </w:p>
    <w:p w14:paraId="659F2F91">
      <w:pPr>
        <w:spacing w:line="480" w:lineRule="auto"/>
        <w:rPr>
          <w:rFonts w:ascii="宋体" w:hAnsi="宋体" w:eastAsia="宋体"/>
          <w:b w:val="0"/>
          <w:bCs w:val="0"/>
          <w:sz w:val="24"/>
          <w:u w:val="single"/>
        </w:rPr>
      </w:pPr>
      <w:r>
        <w:rPr>
          <w:rFonts w:hint="eastAsia" w:ascii="宋体" w:hAnsi="宋体" w:eastAsia="宋体"/>
          <w:b w:val="0"/>
          <w:bCs w:val="0"/>
          <w:sz w:val="24"/>
        </w:rPr>
        <w:t>供应商名称：</w:t>
      </w:r>
      <w:r>
        <w:rPr>
          <w:rFonts w:hint="eastAsia" w:ascii="宋体" w:hAnsi="宋体" w:eastAsia="宋体"/>
          <w:b w:val="0"/>
          <w:bCs w:val="0"/>
          <w:sz w:val="24"/>
          <w:u w:val="single"/>
        </w:rPr>
        <w:t xml:space="preserve">                            </w:t>
      </w:r>
    </w:p>
    <w:p w14:paraId="140025F4">
      <w:pPr>
        <w:spacing w:line="480" w:lineRule="auto"/>
        <w:rPr>
          <w:rFonts w:ascii="宋体" w:hAnsi="宋体" w:eastAsia="宋体"/>
          <w:b w:val="0"/>
          <w:bCs w:val="0"/>
          <w:sz w:val="24"/>
          <w:u w:val="single"/>
        </w:rPr>
      </w:pPr>
      <w:r>
        <w:rPr>
          <w:rFonts w:hint="eastAsia" w:ascii="宋体" w:hAnsi="宋体" w:eastAsia="宋体"/>
          <w:b w:val="0"/>
          <w:bCs w:val="0"/>
          <w:sz w:val="24"/>
        </w:rPr>
        <w:t>姓名：</w:t>
      </w:r>
      <w:r>
        <w:rPr>
          <w:rFonts w:hint="eastAsia" w:ascii="宋体" w:hAnsi="宋体" w:eastAsia="宋体"/>
          <w:b w:val="0"/>
          <w:bCs w:val="0"/>
          <w:sz w:val="24"/>
          <w:u w:val="single"/>
        </w:rPr>
        <w:t xml:space="preserve">        </w:t>
      </w:r>
      <w:r>
        <w:rPr>
          <w:rFonts w:hint="eastAsia" w:ascii="宋体" w:hAnsi="宋体" w:eastAsia="宋体"/>
          <w:b w:val="0"/>
          <w:bCs w:val="0"/>
          <w:sz w:val="24"/>
        </w:rPr>
        <w:t>性别：</w:t>
      </w:r>
      <w:r>
        <w:rPr>
          <w:rFonts w:hint="eastAsia" w:ascii="宋体" w:hAnsi="宋体" w:eastAsia="宋体"/>
          <w:b w:val="0"/>
          <w:bCs w:val="0"/>
          <w:sz w:val="24"/>
          <w:u w:val="single"/>
        </w:rPr>
        <w:t xml:space="preserve">       </w:t>
      </w:r>
      <w:r>
        <w:rPr>
          <w:rFonts w:hint="eastAsia" w:ascii="宋体" w:hAnsi="宋体" w:eastAsia="宋体"/>
          <w:b w:val="0"/>
          <w:bCs w:val="0"/>
          <w:sz w:val="24"/>
        </w:rPr>
        <w:t xml:space="preserve"> 年龄：</w:t>
      </w:r>
      <w:r>
        <w:rPr>
          <w:rFonts w:hint="eastAsia" w:ascii="宋体" w:hAnsi="宋体" w:eastAsia="宋体"/>
          <w:b w:val="0"/>
          <w:bCs w:val="0"/>
          <w:sz w:val="24"/>
          <w:u w:val="single"/>
        </w:rPr>
        <w:t xml:space="preserve">       </w:t>
      </w:r>
      <w:r>
        <w:rPr>
          <w:rFonts w:hint="eastAsia" w:ascii="宋体" w:hAnsi="宋体" w:eastAsia="宋体"/>
          <w:b w:val="0"/>
          <w:bCs w:val="0"/>
          <w:sz w:val="24"/>
        </w:rPr>
        <w:t xml:space="preserve"> 职务： </w:t>
      </w:r>
      <w:r>
        <w:rPr>
          <w:rFonts w:hint="eastAsia" w:ascii="宋体" w:hAnsi="宋体" w:eastAsia="宋体"/>
          <w:b w:val="0"/>
          <w:bCs w:val="0"/>
          <w:sz w:val="24"/>
          <w:u w:val="single"/>
        </w:rPr>
        <w:t xml:space="preserve">        </w:t>
      </w:r>
    </w:p>
    <w:p w14:paraId="1705785A">
      <w:pPr>
        <w:spacing w:line="480" w:lineRule="auto"/>
        <w:rPr>
          <w:rFonts w:ascii="宋体" w:hAnsi="宋体" w:eastAsia="宋体"/>
          <w:b w:val="0"/>
          <w:bCs w:val="0"/>
          <w:sz w:val="24"/>
        </w:rPr>
      </w:pPr>
      <w:r>
        <w:rPr>
          <w:rFonts w:hint="eastAsia" w:ascii="宋体" w:hAnsi="宋体" w:eastAsia="宋体"/>
          <w:b w:val="0"/>
          <w:bCs w:val="0"/>
          <w:sz w:val="24"/>
        </w:rPr>
        <w:t xml:space="preserve">系 </w:t>
      </w:r>
      <w:r>
        <w:rPr>
          <w:rFonts w:hint="eastAsia" w:ascii="宋体" w:hAnsi="宋体" w:eastAsia="宋体"/>
          <w:b w:val="0"/>
          <w:bCs w:val="0"/>
          <w:sz w:val="24"/>
          <w:u w:val="single"/>
        </w:rPr>
        <w:t xml:space="preserve">                              </w:t>
      </w:r>
      <w:r>
        <w:rPr>
          <w:rFonts w:hint="eastAsia" w:ascii="宋体" w:hAnsi="宋体" w:eastAsia="宋体"/>
          <w:b w:val="0"/>
          <w:bCs w:val="0"/>
          <w:sz w:val="24"/>
        </w:rPr>
        <w:t>（供应商名称）的法定代表人。</w:t>
      </w:r>
    </w:p>
    <w:p w14:paraId="4B9EDDD4">
      <w:pPr>
        <w:spacing w:line="480" w:lineRule="auto"/>
        <w:rPr>
          <w:rFonts w:ascii="宋体" w:hAnsi="宋体" w:eastAsia="宋体"/>
          <w:b w:val="0"/>
          <w:bCs w:val="0"/>
          <w:sz w:val="24"/>
        </w:rPr>
      </w:pPr>
      <w:r>
        <w:rPr>
          <w:rFonts w:hint="eastAsia" w:ascii="宋体" w:hAnsi="宋体" w:eastAsia="宋体"/>
          <w:b w:val="0"/>
          <w:bCs w:val="0"/>
          <w:sz w:val="24"/>
        </w:rPr>
        <w:t>特此证明</w:t>
      </w:r>
    </w:p>
    <w:p w14:paraId="6D57BE90">
      <w:pPr>
        <w:spacing w:line="480" w:lineRule="auto"/>
        <w:rPr>
          <w:rFonts w:ascii="宋体" w:hAnsi="宋体" w:eastAsia="宋体"/>
          <w:b w:val="0"/>
          <w:bCs w:val="0"/>
          <w:sz w:val="24"/>
        </w:rPr>
      </w:pPr>
      <w:r>
        <w:rPr>
          <w:rFonts w:hint="eastAsia" w:ascii="宋体" w:hAnsi="宋体" w:eastAsia="宋体"/>
          <w:b w:val="0"/>
          <w:bCs w:val="0"/>
          <w:sz w:val="24"/>
        </w:rPr>
        <w:t>附：法定代表人身份证复印件</w:t>
      </w:r>
    </w:p>
    <w:p w14:paraId="42E9ADD9">
      <w:pPr>
        <w:spacing w:line="480" w:lineRule="auto"/>
        <w:rPr>
          <w:rFonts w:ascii="宋体" w:hAnsi="宋体" w:eastAsia="宋体"/>
          <w:b w:val="0"/>
          <w:bCs w:val="0"/>
          <w:sz w:val="24"/>
        </w:rPr>
      </w:pPr>
      <w:r>
        <w:rPr>
          <w:rFonts w:hint="eastAsia" w:ascii="宋体" w:hAnsi="宋体" w:eastAsia="宋体"/>
          <w:b w:val="0"/>
          <w:bCs w:val="0"/>
          <w:sz w:val="24"/>
        </w:rPr>
        <w:t>注：本身份证明需由供应商加盖单位公章。</w:t>
      </w:r>
    </w:p>
    <w:p w14:paraId="61BFD048">
      <w:pPr>
        <w:spacing w:line="480" w:lineRule="auto"/>
        <w:rPr>
          <w:rFonts w:ascii="宋体" w:hAnsi="宋体" w:eastAsia="宋体"/>
          <w:b w:val="0"/>
          <w:bCs w:val="0"/>
          <w:sz w:val="24"/>
        </w:rPr>
      </w:pPr>
    </w:p>
    <w:p w14:paraId="6485CFC9">
      <w:pPr>
        <w:spacing w:line="480" w:lineRule="auto"/>
        <w:rPr>
          <w:rFonts w:ascii="宋体" w:hAnsi="宋体" w:eastAsia="宋体"/>
          <w:b w:val="0"/>
          <w:bCs w:val="0"/>
          <w:sz w:val="24"/>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11A4B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1" w:hRule="atLeast"/>
        </w:trPr>
        <w:tc>
          <w:tcPr>
            <w:tcW w:w="4261" w:type="dxa"/>
          </w:tcPr>
          <w:p w14:paraId="586A8853">
            <w:pPr>
              <w:keepNext w:val="0"/>
              <w:keepLines w:val="0"/>
              <w:suppressLineNumbers w:val="0"/>
              <w:spacing w:before="0" w:beforeAutospacing="0" w:after="0" w:afterAutospacing="0"/>
              <w:ind w:left="0" w:right="0"/>
              <w:jc w:val="center"/>
              <w:rPr>
                <w:rFonts w:hint="default" w:ascii="宋体" w:hAnsi="宋体" w:eastAsia="宋体"/>
                <w:b w:val="0"/>
                <w:bCs w:val="0"/>
                <w:sz w:val="24"/>
              </w:rPr>
            </w:pPr>
          </w:p>
          <w:p w14:paraId="5A479578">
            <w:pPr>
              <w:keepNext w:val="0"/>
              <w:keepLines w:val="0"/>
              <w:suppressLineNumbers w:val="0"/>
              <w:spacing w:before="0" w:beforeAutospacing="0" w:after="0" w:afterAutospacing="0"/>
              <w:ind w:left="0" w:right="0"/>
              <w:jc w:val="center"/>
              <w:rPr>
                <w:rFonts w:hint="default" w:ascii="宋体" w:hAnsi="宋体" w:eastAsia="宋体"/>
                <w:b w:val="0"/>
                <w:bCs w:val="0"/>
                <w:sz w:val="24"/>
              </w:rPr>
            </w:pPr>
          </w:p>
          <w:p w14:paraId="3F8D05D9">
            <w:pPr>
              <w:keepNext w:val="0"/>
              <w:keepLines w:val="0"/>
              <w:suppressLineNumbers w:val="0"/>
              <w:spacing w:before="0" w:beforeAutospacing="0" w:after="0" w:afterAutospacing="0"/>
              <w:ind w:left="0" w:right="0"/>
              <w:jc w:val="center"/>
              <w:rPr>
                <w:rFonts w:hint="default" w:ascii="宋体" w:hAnsi="宋体" w:eastAsia="宋体"/>
                <w:b w:val="0"/>
                <w:bCs w:val="0"/>
                <w:sz w:val="24"/>
              </w:rPr>
            </w:pPr>
            <w:r>
              <w:rPr>
                <w:rFonts w:hint="eastAsia" w:ascii="宋体" w:hAnsi="宋体" w:eastAsia="宋体"/>
                <w:b w:val="0"/>
                <w:bCs w:val="0"/>
                <w:sz w:val="24"/>
              </w:rPr>
              <w:t>身份证正面</w:t>
            </w:r>
          </w:p>
        </w:tc>
        <w:tc>
          <w:tcPr>
            <w:tcW w:w="4261" w:type="dxa"/>
          </w:tcPr>
          <w:p w14:paraId="3C7F28E2">
            <w:pPr>
              <w:keepNext w:val="0"/>
              <w:keepLines w:val="0"/>
              <w:suppressLineNumbers w:val="0"/>
              <w:spacing w:before="0" w:beforeAutospacing="0" w:after="0" w:afterAutospacing="0"/>
              <w:ind w:left="0" w:right="0"/>
              <w:jc w:val="center"/>
              <w:rPr>
                <w:rFonts w:hint="default" w:ascii="宋体" w:hAnsi="宋体" w:eastAsia="宋体"/>
                <w:b w:val="0"/>
                <w:bCs w:val="0"/>
                <w:sz w:val="24"/>
              </w:rPr>
            </w:pPr>
          </w:p>
          <w:p w14:paraId="0A235641">
            <w:pPr>
              <w:keepNext w:val="0"/>
              <w:keepLines w:val="0"/>
              <w:suppressLineNumbers w:val="0"/>
              <w:spacing w:before="0" w:beforeAutospacing="0" w:after="0" w:afterAutospacing="0"/>
              <w:ind w:left="0" w:right="0"/>
              <w:jc w:val="center"/>
              <w:rPr>
                <w:rFonts w:hint="default" w:ascii="宋体" w:hAnsi="宋体" w:eastAsia="宋体"/>
                <w:b w:val="0"/>
                <w:bCs w:val="0"/>
                <w:sz w:val="24"/>
              </w:rPr>
            </w:pPr>
          </w:p>
          <w:p w14:paraId="0CCF1AF6">
            <w:pPr>
              <w:keepNext w:val="0"/>
              <w:keepLines w:val="0"/>
              <w:suppressLineNumbers w:val="0"/>
              <w:spacing w:before="0" w:beforeAutospacing="0" w:after="0" w:afterAutospacing="0"/>
              <w:ind w:left="0" w:right="0"/>
              <w:jc w:val="center"/>
              <w:rPr>
                <w:rFonts w:hint="default" w:ascii="宋体" w:hAnsi="宋体" w:eastAsia="宋体"/>
                <w:b w:val="0"/>
                <w:bCs w:val="0"/>
                <w:sz w:val="24"/>
              </w:rPr>
            </w:pPr>
            <w:r>
              <w:rPr>
                <w:rFonts w:hint="eastAsia" w:ascii="宋体" w:hAnsi="宋体" w:eastAsia="宋体"/>
                <w:b w:val="0"/>
                <w:bCs w:val="0"/>
                <w:sz w:val="24"/>
              </w:rPr>
              <w:t>身份证反面</w:t>
            </w:r>
          </w:p>
        </w:tc>
      </w:tr>
    </w:tbl>
    <w:p w14:paraId="1184B2ED">
      <w:pPr>
        <w:jc w:val="center"/>
        <w:rPr>
          <w:rFonts w:ascii="宋体" w:hAnsi="宋体" w:eastAsia="宋体"/>
          <w:b w:val="0"/>
          <w:bCs w:val="0"/>
          <w:sz w:val="24"/>
        </w:rPr>
      </w:pPr>
    </w:p>
    <w:p w14:paraId="37A451F1">
      <w:pPr>
        <w:jc w:val="center"/>
        <w:rPr>
          <w:rFonts w:ascii="宋体" w:hAnsi="宋体" w:eastAsia="宋体"/>
          <w:b w:val="0"/>
          <w:bCs w:val="0"/>
          <w:sz w:val="24"/>
        </w:rPr>
      </w:pPr>
    </w:p>
    <w:p w14:paraId="21B7EFDF">
      <w:pPr>
        <w:rPr>
          <w:rFonts w:ascii="宋体" w:hAnsi="宋体" w:eastAsia="宋体"/>
          <w:b w:val="0"/>
          <w:bCs w:val="0"/>
          <w:sz w:val="24"/>
        </w:rPr>
      </w:pPr>
      <w:r>
        <w:rPr>
          <w:rFonts w:hint="eastAsia" w:ascii="宋体" w:hAnsi="宋体" w:eastAsia="宋体"/>
          <w:b w:val="0"/>
          <w:bCs w:val="0"/>
          <w:sz w:val="24"/>
        </w:rPr>
        <w:t xml:space="preserve"> </w:t>
      </w:r>
    </w:p>
    <w:p w14:paraId="114E49CE">
      <w:pPr>
        <w:rPr>
          <w:rFonts w:ascii="宋体" w:hAnsi="宋体" w:eastAsia="宋体"/>
          <w:b w:val="0"/>
          <w:bCs w:val="0"/>
          <w:sz w:val="24"/>
        </w:rPr>
      </w:pPr>
    </w:p>
    <w:p w14:paraId="567B0568">
      <w:pPr>
        <w:ind w:firstLine="2400" w:firstLineChars="1000"/>
        <w:rPr>
          <w:rFonts w:ascii="宋体" w:hAnsi="宋体" w:eastAsia="宋体"/>
          <w:b w:val="0"/>
          <w:bCs w:val="0"/>
          <w:sz w:val="24"/>
        </w:rPr>
      </w:pPr>
      <w:r>
        <w:rPr>
          <w:rFonts w:hint="eastAsia" w:ascii="宋体" w:hAnsi="宋体" w:eastAsia="宋体"/>
          <w:b w:val="0"/>
          <w:bCs w:val="0"/>
          <w:sz w:val="24"/>
          <w:lang w:val="en-US" w:eastAsia="zh-CN"/>
        </w:rPr>
        <w:t>投标</w:t>
      </w:r>
      <w:r>
        <w:rPr>
          <w:rFonts w:hint="eastAsia" w:ascii="宋体" w:hAnsi="宋体" w:eastAsia="宋体"/>
          <w:b w:val="0"/>
          <w:bCs w:val="0"/>
          <w:sz w:val="24"/>
        </w:rPr>
        <w:t>供应商：</w:t>
      </w:r>
      <w:r>
        <w:rPr>
          <w:rFonts w:hint="eastAsia" w:ascii="宋体" w:hAnsi="宋体" w:eastAsia="宋体"/>
          <w:b w:val="0"/>
          <w:bCs w:val="0"/>
          <w:sz w:val="24"/>
          <w:u w:val="single"/>
        </w:rPr>
        <w:t xml:space="preserve">                       </w:t>
      </w:r>
      <w:r>
        <w:rPr>
          <w:rFonts w:hint="eastAsia" w:ascii="宋体" w:hAnsi="宋体" w:eastAsia="宋体"/>
          <w:b w:val="0"/>
          <w:bCs w:val="0"/>
          <w:sz w:val="24"/>
        </w:rPr>
        <w:t>（单位公章）</w:t>
      </w:r>
    </w:p>
    <w:p w14:paraId="476582F7">
      <w:pPr>
        <w:ind w:firstLine="2400" w:firstLineChars="1000"/>
        <w:rPr>
          <w:rFonts w:ascii="宋体" w:hAnsi="宋体" w:eastAsia="宋体"/>
          <w:b w:val="0"/>
          <w:bCs w:val="0"/>
          <w:sz w:val="24"/>
        </w:rPr>
      </w:pPr>
    </w:p>
    <w:p w14:paraId="2CA56F6E">
      <w:pPr>
        <w:rPr>
          <w:rFonts w:ascii="宋体" w:hAnsi="宋体" w:eastAsia="宋体"/>
          <w:b w:val="0"/>
          <w:bCs w:val="0"/>
          <w:sz w:val="24"/>
        </w:rPr>
      </w:pPr>
    </w:p>
    <w:p w14:paraId="08893489">
      <w:pPr>
        <w:ind w:firstLine="3840" w:firstLineChars="1600"/>
        <w:rPr>
          <w:rFonts w:hint="eastAsia" w:ascii="宋体" w:hAnsi="宋体" w:eastAsia="宋体"/>
          <w:b w:val="0"/>
          <w:bCs w:val="0"/>
          <w:sz w:val="24"/>
        </w:rPr>
      </w:pPr>
      <w:r>
        <w:rPr>
          <w:rFonts w:hint="eastAsia" w:ascii="宋体" w:hAnsi="宋体" w:eastAsia="宋体"/>
          <w:b w:val="0"/>
          <w:bCs w:val="0"/>
          <w:sz w:val="24"/>
          <w:u w:val="single"/>
        </w:rPr>
        <w:t xml:space="preserve">      </w:t>
      </w:r>
      <w:r>
        <w:rPr>
          <w:rFonts w:hint="eastAsia" w:ascii="宋体" w:hAnsi="宋体" w:eastAsia="宋体"/>
          <w:b w:val="0"/>
          <w:bCs w:val="0"/>
          <w:sz w:val="24"/>
        </w:rPr>
        <w:t>年</w:t>
      </w:r>
      <w:r>
        <w:rPr>
          <w:rFonts w:hint="eastAsia" w:ascii="宋体" w:hAnsi="宋体" w:eastAsia="宋体"/>
          <w:b w:val="0"/>
          <w:bCs w:val="0"/>
          <w:sz w:val="24"/>
          <w:u w:val="single"/>
        </w:rPr>
        <w:t xml:space="preserve">      </w:t>
      </w:r>
      <w:r>
        <w:rPr>
          <w:rFonts w:hint="eastAsia" w:ascii="宋体" w:hAnsi="宋体" w:eastAsia="宋体"/>
          <w:b w:val="0"/>
          <w:bCs w:val="0"/>
          <w:sz w:val="24"/>
        </w:rPr>
        <w:t>月</w:t>
      </w:r>
      <w:r>
        <w:rPr>
          <w:rFonts w:hint="eastAsia" w:ascii="宋体" w:hAnsi="宋体" w:eastAsia="宋体"/>
          <w:b w:val="0"/>
          <w:bCs w:val="0"/>
          <w:sz w:val="24"/>
          <w:u w:val="single"/>
        </w:rPr>
        <w:t xml:space="preserve">      </w:t>
      </w:r>
      <w:r>
        <w:rPr>
          <w:rFonts w:hint="eastAsia" w:ascii="宋体" w:hAnsi="宋体" w:eastAsia="宋体"/>
          <w:b w:val="0"/>
          <w:bCs w:val="0"/>
          <w:sz w:val="24"/>
        </w:rPr>
        <w:t xml:space="preserve"> 日</w:t>
      </w:r>
    </w:p>
    <w:p w14:paraId="06FAFA92">
      <w:pPr>
        <w:spacing w:line="360" w:lineRule="auto"/>
        <w:jc w:val="both"/>
        <w:rPr>
          <w:rFonts w:ascii="宋体" w:hAnsi="宋体" w:eastAsia="宋体"/>
          <w:sz w:val="24"/>
          <w:szCs w:val="24"/>
        </w:rPr>
      </w:pPr>
    </w:p>
    <w:p w14:paraId="4A7911E0">
      <w:pPr>
        <w:spacing w:line="360" w:lineRule="auto"/>
        <w:ind w:firstLine="420"/>
        <w:jc w:val="center"/>
        <w:rPr>
          <w:rFonts w:ascii="宋体" w:hAnsi="宋体" w:eastAsia="宋体"/>
          <w:sz w:val="28"/>
          <w:szCs w:val="28"/>
        </w:rPr>
      </w:pPr>
      <w:r>
        <w:rPr>
          <w:rFonts w:ascii="宋体" w:hAnsi="宋体" w:eastAsia="宋体"/>
          <w:sz w:val="28"/>
          <w:szCs w:val="28"/>
        </w:rPr>
        <w:t>授权委托人身份证明</w:t>
      </w:r>
    </w:p>
    <w:p w14:paraId="2C6C7C4A">
      <w:pPr>
        <w:spacing w:line="360" w:lineRule="auto"/>
        <w:rPr>
          <w:rFonts w:hint="default" w:ascii="宋体" w:hAnsi="宋体" w:eastAsia="宋体"/>
          <w:b w:val="0"/>
          <w:bCs w:val="0"/>
          <w:sz w:val="28"/>
          <w:szCs w:val="28"/>
          <w:lang w:val="en-US" w:eastAsia="zh-CN"/>
        </w:rPr>
      </w:pPr>
      <w:r>
        <w:rPr>
          <w:rFonts w:hint="eastAsia" w:ascii="宋体" w:hAnsi="宋体" w:eastAsia="宋体"/>
          <w:b w:val="0"/>
          <w:bCs w:val="0"/>
          <w:sz w:val="28"/>
          <w:szCs w:val="28"/>
          <w:lang w:val="en-US" w:eastAsia="zh-CN"/>
        </w:rPr>
        <w:t>鄂尔多斯市中心医院：</w:t>
      </w:r>
    </w:p>
    <w:p w14:paraId="2D94EDF4">
      <w:pPr>
        <w:spacing w:line="360" w:lineRule="auto"/>
        <w:ind w:firstLine="560" w:firstLineChars="200"/>
        <w:rPr>
          <w:rFonts w:hint="eastAsia" w:ascii="宋体" w:hAnsi="宋体" w:eastAsia="宋体" w:cs="宋体"/>
          <w:b w:val="0"/>
          <w:bCs w:val="0"/>
          <w:sz w:val="28"/>
          <w:szCs w:val="28"/>
        </w:rPr>
      </w:pPr>
      <w:r>
        <w:rPr>
          <w:rFonts w:hint="eastAsia" w:ascii="宋体" w:hAnsi="宋体" w:eastAsia="宋体" w:cs="宋体"/>
          <w:b w:val="0"/>
          <w:bCs w:val="0"/>
          <w:sz w:val="28"/>
          <w:szCs w:val="28"/>
        </w:rPr>
        <w:t>兹委托我单位</w:t>
      </w:r>
      <w:r>
        <w:rPr>
          <w:rFonts w:hint="eastAsia" w:ascii="宋体" w:hAnsi="宋体" w:eastAsia="宋体" w:cs="宋体"/>
          <w:b w:val="0"/>
          <w:bCs w:val="0"/>
          <w:sz w:val="28"/>
          <w:szCs w:val="28"/>
          <w:u w:val="single"/>
        </w:rPr>
        <w:t xml:space="preserve">    姓名    </w:t>
      </w:r>
      <w:r>
        <w:rPr>
          <w:rFonts w:hint="eastAsia" w:ascii="宋体" w:hAnsi="宋体" w:eastAsia="宋体" w:cs="宋体"/>
          <w:b w:val="0"/>
          <w:bCs w:val="0"/>
          <w:sz w:val="28"/>
          <w:szCs w:val="28"/>
        </w:rPr>
        <w:t>参加贵单位组织的</w:t>
      </w:r>
      <w:r>
        <w:rPr>
          <w:rFonts w:hint="eastAsia" w:ascii="宋体" w:hAnsi="宋体" w:eastAsia="宋体" w:cs="宋体"/>
          <w:b w:val="0"/>
          <w:bCs w:val="0"/>
          <w:sz w:val="28"/>
          <w:szCs w:val="28"/>
          <w:u w:val="single"/>
        </w:rPr>
        <w:t xml:space="preserve"> 项目名称</w:t>
      </w:r>
      <w:r>
        <w:rPr>
          <w:rFonts w:hint="eastAsia" w:ascii="宋体" w:hAnsi="宋体" w:eastAsia="宋体" w:cs="宋体"/>
          <w:b w:val="0"/>
          <w:bCs w:val="0"/>
          <w:sz w:val="28"/>
          <w:szCs w:val="28"/>
        </w:rPr>
        <w:t>,</w:t>
      </w:r>
      <w:r>
        <w:rPr>
          <w:rFonts w:hint="eastAsia" w:ascii="宋体" w:hAnsi="宋体" w:eastAsia="宋体" w:cs="宋体"/>
          <w:b w:val="0"/>
          <w:bCs w:val="0"/>
          <w:sz w:val="28"/>
          <w:szCs w:val="28"/>
          <w:lang w:eastAsia="zh-CN"/>
        </w:rPr>
        <w:t>授权委托人</w:t>
      </w:r>
      <w:r>
        <w:rPr>
          <w:rFonts w:hint="eastAsia" w:ascii="宋体" w:hAnsi="宋体" w:eastAsia="宋体" w:cs="宋体"/>
          <w:b w:val="0"/>
          <w:bCs w:val="0"/>
          <w:sz w:val="28"/>
          <w:szCs w:val="28"/>
        </w:rPr>
        <w:t>全权代表我单位处理本项目的报名、投标等工作。我单位对</w:t>
      </w:r>
      <w:r>
        <w:rPr>
          <w:rFonts w:hint="eastAsia" w:ascii="宋体" w:hAnsi="宋体" w:eastAsia="宋体" w:cs="宋体"/>
          <w:b w:val="0"/>
          <w:bCs w:val="0"/>
          <w:sz w:val="28"/>
          <w:szCs w:val="28"/>
          <w:lang w:eastAsia="zh-CN"/>
        </w:rPr>
        <w:t>授权委托人</w:t>
      </w:r>
      <w:r>
        <w:rPr>
          <w:rFonts w:hint="eastAsia" w:ascii="宋体" w:hAnsi="宋体" w:eastAsia="宋体" w:cs="宋体"/>
          <w:b w:val="0"/>
          <w:bCs w:val="0"/>
          <w:sz w:val="28"/>
          <w:szCs w:val="28"/>
        </w:rPr>
        <w:t>签署的内容负全部责任。签署的文件等内容不因授权的撤销而失效，</w:t>
      </w:r>
      <w:r>
        <w:rPr>
          <w:rFonts w:hint="eastAsia" w:ascii="宋体" w:hAnsi="宋体" w:eastAsia="宋体" w:cs="宋体"/>
          <w:b w:val="0"/>
          <w:bCs w:val="0"/>
          <w:sz w:val="28"/>
          <w:szCs w:val="28"/>
          <w:lang w:eastAsia="zh-CN"/>
        </w:rPr>
        <w:t>授权委托人</w:t>
      </w:r>
      <w:r>
        <w:rPr>
          <w:rFonts w:hint="eastAsia" w:ascii="宋体" w:hAnsi="宋体" w:eastAsia="宋体" w:cs="宋体"/>
          <w:b w:val="0"/>
          <w:bCs w:val="0"/>
          <w:sz w:val="28"/>
          <w:szCs w:val="28"/>
        </w:rPr>
        <w:t>无</w:t>
      </w:r>
      <w:r>
        <w:rPr>
          <w:rFonts w:hint="eastAsia" w:ascii="宋体" w:hAnsi="宋体" w:eastAsia="宋体" w:cs="宋体"/>
          <w:b w:val="0"/>
          <w:bCs w:val="0"/>
          <w:sz w:val="28"/>
          <w:szCs w:val="28"/>
          <w:lang w:val="en-US" w:eastAsia="zh-CN"/>
        </w:rPr>
        <w:t>权</w:t>
      </w:r>
      <w:r>
        <w:rPr>
          <w:rFonts w:hint="eastAsia" w:ascii="宋体" w:hAnsi="宋体" w:eastAsia="宋体" w:cs="宋体"/>
          <w:b w:val="0"/>
          <w:bCs w:val="0"/>
          <w:sz w:val="28"/>
          <w:szCs w:val="28"/>
        </w:rPr>
        <w:t>转委托权。特此委托。</w:t>
      </w:r>
    </w:p>
    <w:p w14:paraId="6A058C70">
      <w:pPr>
        <w:spacing w:line="360" w:lineRule="auto"/>
        <w:rPr>
          <w:rFonts w:hint="default" w:ascii="宋体" w:hAnsi="宋体" w:eastAsia="宋体"/>
          <w:b w:val="0"/>
          <w:bCs w:val="0"/>
          <w:sz w:val="24"/>
          <w:szCs w:val="24"/>
          <w:lang w:val="en-US" w:eastAsia="zh-CN"/>
        </w:rPr>
      </w:pPr>
      <w:r>
        <w:rPr>
          <w:rFonts w:hint="eastAsia" w:ascii="宋体" w:hAnsi="宋体" w:eastAsia="宋体"/>
          <w:b w:val="0"/>
          <w:bCs w:val="0"/>
          <w:sz w:val="24"/>
          <w:szCs w:val="24"/>
          <w:lang w:val="en-US" w:eastAsia="zh-CN"/>
        </w:rPr>
        <w:t xml:space="preserve">    </w:t>
      </w:r>
    </w:p>
    <w:p w14:paraId="07AEB1C1">
      <w:pPr>
        <w:tabs>
          <w:tab w:val="left" w:pos="5046"/>
        </w:tabs>
        <w:spacing w:line="360" w:lineRule="auto"/>
        <w:rPr>
          <w:rFonts w:hint="eastAsia" w:ascii="宋体" w:hAnsi="宋体" w:eastAsia="宋体"/>
          <w:b w:val="0"/>
          <w:bCs w:val="0"/>
          <w:sz w:val="24"/>
          <w:szCs w:val="24"/>
          <w:lang w:eastAsia="zh-CN"/>
        </w:rPr>
      </w:pPr>
      <w:r>
        <w:rPr>
          <w:b w:val="0"/>
          <w:bCs w:val="0"/>
          <w:sz w:val="20"/>
        </w:rPr>
        <mc:AlternateContent>
          <mc:Choice Requires="wps">
            <w:drawing>
              <wp:anchor distT="0" distB="0" distL="114300" distR="114300" simplePos="0" relativeHeight="251659264" behindDoc="0" locked="0" layoutInCell="1" allowOverlap="1">
                <wp:simplePos x="0" y="0"/>
                <wp:positionH relativeFrom="column">
                  <wp:posOffset>3042285</wp:posOffset>
                </wp:positionH>
                <wp:positionV relativeFrom="paragraph">
                  <wp:posOffset>40005</wp:posOffset>
                </wp:positionV>
                <wp:extent cx="2343150" cy="1447165"/>
                <wp:effectExtent l="4445" t="5080" r="14605" b="14605"/>
                <wp:wrapNone/>
                <wp:docPr id="1" name="文本框 3"/>
                <wp:cNvGraphicFramePr/>
                <a:graphic xmlns:a="http://schemas.openxmlformats.org/drawingml/2006/main">
                  <a:graphicData uri="http://schemas.microsoft.com/office/word/2010/wordprocessingShape">
                    <wps:wsp>
                      <wps:cNvSpPr txBox="1"/>
                      <wps:spPr>
                        <a:xfrm>
                          <a:off x="0" y="0"/>
                          <a:ext cx="2345055" cy="1449070"/>
                        </a:xfrm>
                        <a:prstGeom prst="rect">
                          <a:avLst/>
                        </a:prstGeom>
                        <a:solidFill>
                          <a:schemeClr val="lt1"/>
                        </a:solidFill>
                        <a:ln w="6350" cap="flat" cmpd="sng">
                          <a:solidFill>
                            <a:prstClr val="black"/>
                          </a:solidFill>
                          <a:prstDash val="solid"/>
                        </a:ln>
                      </wps:spPr>
                      <wps:style>
                        <a:lnRef idx="0">
                          <a:schemeClr val="accent1"/>
                        </a:lnRef>
                        <a:fillRef idx="0">
                          <a:schemeClr val="accent1"/>
                        </a:fillRef>
                        <a:effectRef idx="0">
                          <a:schemeClr val="accent1"/>
                        </a:effectRef>
                        <a:fontRef idx="minor">
                          <a:schemeClr val="dk1"/>
                        </a:fontRef>
                      </wps:style>
                      <wps:txbx>
                        <w:txbxContent>
                          <w:p w14:paraId="087DAB63">
                            <w:pPr>
                              <w:rPr>
                                <w:rFonts w:hint="eastAsia"/>
                                <w:lang w:val="en-US" w:eastAsia="zh-CN"/>
                              </w:rPr>
                            </w:pPr>
                          </w:p>
                          <w:p w14:paraId="612DA30D">
                            <w:pPr>
                              <w:rPr>
                                <w:rFonts w:hint="eastAsia"/>
                                <w:lang w:val="en-US" w:eastAsia="zh-CN"/>
                              </w:rPr>
                            </w:pPr>
                          </w:p>
                          <w:p w14:paraId="4FE00DA4">
                            <w:pPr>
                              <w:rPr>
                                <w:rFonts w:hint="eastAsia"/>
                                <w:lang w:val="en-US" w:eastAsia="zh-CN"/>
                              </w:rPr>
                            </w:pPr>
                          </w:p>
                          <w:p w14:paraId="6921A913">
                            <w:pPr>
                              <w:jc w:val="center"/>
                              <w:rPr>
                                <w:rFonts w:ascii="宋体" w:hAnsi="宋体" w:eastAsia="宋体" w:cs="宋体"/>
                                <w:sz w:val="24"/>
                              </w:rPr>
                            </w:pPr>
                            <w:r>
                              <w:rPr>
                                <w:rFonts w:hint="eastAsia" w:ascii="宋体" w:hAnsi="宋体" w:eastAsia="宋体" w:cs="宋体"/>
                                <w:b/>
                                <w:bCs/>
                                <w:sz w:val="24"/>
                                <w:lang w:eastAsia="zh-CN"/>
                              </w:rPr>
                              <w:t>授权委托人</w:t>
                            </w:r>
                            <w:r>
                              <w:rPr>
                                <w:rFonts w:hint="eastAsia" w:ascii="宋体" w:hAnsi="宋体" w:eastAsia="宋体" w:cs="宋体"/>
                                <w:b/>
                                <w:bCs/>
                                <w:sz w:val="24"/>
                              </w:rPr>
                              <w:t>身份证正面</w:t>
                            </w:r>
                          </w:p>
                          <w:p w14:paraId="42E5BCF3">
                            <w:pPr>
                              <w:ind w:firstLine="400"/>
                              <w:rPr>
                                <w:rFonts w:hint="eastAsia" w:ascii="宋体" w:hAnsi="宋体" w:eastAsia="宋体" w:cs="宋体"/>
                                <w:sz w:val="24"/>
                                <w:szCs w:val="24"/>
                                <w:lang w:val="en-US" w:eastAsia="zh-CN"/>
                              </w:rPr>
                            </w:pPr>
                          </w:p>
                        </w:txbxContent>
                      </wps:txbx>
                      <wps:bodyPr rot="0" spcFirstLastPara="0" vertOverflow="overflow" horzOverflow="overflow" vert="horz" wrap="square" lIns="91440" tIns="45720" rIns="91440" bIns="45720" numCol="1" spcCol="0" rtlCol="0" fromWordArt="0" anchor="t" anchorCtr="0" forceAA="0" compatLnSpc="0"/>
                    </wps:wsp>
                  </a:graphicData>
                </a:graphic>
              </wp:anchor>
            </w:drawing>
          </mc:Choice>
          <mc:Fallback>
            <w:pict>
              <v:shape id="文本框 3" o:spid="_x0000_s1026" o:spt="202" type="#_x0000_t202" style="position:absolute;left:0pt;margin-left:239.55pt;margin-top:3.15pt;height:113.95pt;width:184.5pt;z-index:251659264;mso-width-relative:page;mso-height-relative:page;" fillcolor="#FFFFFF [3201]" filled="t" stroked="t" coordsize="21600,21600" o:gfxdata="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NY6wcDWAAAACQEAAA8AAAAAAAAAAQAgAAAAIgAAAGRycy9kb3ducmV2LnhtbFBLAQIUABQA&#10;AAAIAIdO4kCyq2bSZAIAAM0EAAAOAAAAAAAAAAEAIAAAACUBAABkcnMvZTJvRG9jLnhtbFBLBQYA&#10;AAAABgAGAFkBAAD7BQAAAAA=&#10;">
                <v:fill on="t" focussize="0,0"/>
                <v:stroke weight="0.5pt" color="#000000 [3204]" joinstyle="round"/>
                <v:imagedata o:title=""/>
                <o:lock v:ext="edit" aspectratio="f"/>
                <v:textbox>
                  <w:txbxContent>
                    <w:p w14:paraId="087DAB63">
                      <w:pPr>
                        <w:rPr>
                          <w:rFonts w:hint="eastAsia"/>
                          <w:lang w:val="en-US" w:eastAsia="zh-CN"/>
                        </w:rPr>
                      </w:pPr>
                    </w:p>
                    <w:p w14:paraId="612DA30D">
                      <w:pPr>
                        <w:rPr>
                          <w:rFonts w:hint="eastAsia"/>
                          <w:lang w:val="en-US" w:eastAsia="zh-CN"/>
                        </w:rPr>
                      </w:pPr>
                    </w:p>
                    <w:p w14:paraId="4FE00DA4">
                      <w:pPr>
                        <w:rPr>
                          <w:rFonts w:hint="eastAsia"/>
                          <w:lang w:val="en-US" w:eastAsia="zh-CN"/>
                        </w:rPr>
                      </w:pPr>
                    </w:p>
                    <w:p w14:paraId="6921A913">
                      <w:pPr>
                        <w:jc w:val="center"/>
                        <w:rPr>
                          <w:rFonts w:ascii="宋体" w:hAnsi="宋体" w:eastAsia="宋体" w:cs="宋体"/>
                          <w:sz w:val="24"/>
                        </w:rPr>
                      </w:pPr>
                      <w:r>
                        <w:rPr>
                          <w:rFonts w:hint="eastAsia" w:ascii="宋体" w:hAnsi="宋体" w:eastAsia="宋体" w:cs="宋体"/>
                          <w:b/>
                          <w:bCs/>
                          <w:sz w:val="24"/>
                          <w:lang w:eastAsia="zh-CN"/>
                        </w:rPr>
                        <w:t>授权委托人</w:t>
                      </w:r>
                      <w:r>
                        <w:rPr>
                          <w:rFonts w:hint="eastAsia" w:ascii="宋体" w:hAnsi="宋体" w:eastAsia="宋体" w:cs="宋体"/>
                          <w:b/>
                          <w:bCs/>
                          <w:sz w:val="24"/>
                        </w:rPr>
                        <w:t>身份证正面</w:t>
                      </w:r>
                    </w:p>
                    <w:p w14:paraId="42E5BCF3">
                      <w:pPr>
                        <w:ind w:firstLine="400"/>
                        <w:rPr>
                          <w:rFonts w:hint="eastAsia" w:ascii="宋体" w:hAnsi="宋体" w:eastAsia="宋体" w:cs="宋体"/>
                          <w:sz w:val="24"/>
                          <w:szCs w:val="24"/>
                          <w:lang w:val="en-US" w:eastAsia="zh-CN"/>
                        </w:rPr>
                      </w:pPr>
                    </w:p>
                  </w:txbxContent>
                </v:textbox>
              </v:shape>
            </w:pict>
          </mc:Fallback>
        </mc:AlternateContent>
      </w:r>
      <w:r>
        <w:rPr>
          <w:b w:val="0"/>
          <w:bCs w:val="0"/>
          <w:sz w:val="20"/>
        </w:rPr>
        <mc:AlternateContent>
          <mc:Choice Requires="wps">
            <w:drawing>
              <wp:anchor distT="0" distB="0" distL="114300" distR="114300" simplePos="0" relativeHeight="251659264" behindDoc="0" locked="0" layoutInCell="1" allowOverlap="1">
                <wp:simplePos x="0" y="0"/>
                <wp:positionH relativeFrom="column">
                  <wp:posOffset>-24765</wp:posOffset>
                </wp:positionH>
                <wp:positionV relativeFrom="paragraph">
                  <wp:posOffset>27940</wp:posOffset>
                </wp:positionV>
                <wp:extent cx="2428240" cy="1486535"/>
                <wp:effectExtent l="4445" t="4445" r="5715" b="13970"/>
                <wp:wrapNone/>
                <wp:docPr id="3" name="文本框 6"/>
                <wp:cNvGraphicFramePr/>
                <a:graphic xmlns:a="http://schemas.openxmlformats.org/drawingml/2006/main">
                  <a:graphicData uri="http://schemas.microsoft.com/office/word/2010/wordprocessingShape">
                    <wps:wsp>
                      <wps:cNvSpPr txBox="1"/>
                      <wps:spPr>
                        <a:xfrm>
                          <a:off x="0" y="0"/>
                          <a:ext cx="2430145" cy="1488440"/>
                        </a:xfrm>
                        <a:prstGeom prst="rect">
                          <a:avLst/>
                        </a:prstGeom>
                        <a:solidFill>
                          <a:schemeClr val="lt1"/>
                        </a:solidFill>
                        <a:ln w="6350" cap="flat" cmpd="sng">
                          <a:solidFill>
                            <a:prstClr val="black"/>
                          </a:solidFill>
                          <a:prstDash val="solid"/>
                        </a:ln>
                      </wps:spPr>
                      <wps:style>
                        <a:lnRef idx="0">
                          <a:schemeClr val="accent1"/>
                        </a:lnRef>
                        <a:fillRef idx="0">
                          <a:schemeClr val="accent1"/>
                        </a:fillRef>
                        <a:effectRef idx="0">
                          <a:schemeClr val="accent1"/>
                        </a:effectRef>
                        <a:fontRef idx="minor">
                          <a:schemeClr val="dk1"/>
                        </a:fontRef>
                      </wps:style>
                      <wps:txbx>
                        <w:txbxContent>
                          <w:p w14:paraId="07FAC7EF">
                            <w:pPr>
                              <w:jc w:val="center"/>
                              <w:rPr>
                                <w:rFonts w:hint="eastAsia"/>
                                <w:lang w:val="en-US" w:eastAsia="zh-CN"/>
                              </w:rPr>
                            </w:pPr>
                          </w:p>
                          <w:p w14:paraId="6A4A124D">
                            <w:pPr>
                              <w:jc w:val="center"/>
                              <w:rPr>
                                <w:rFonts w:hint="eastAsia"/>
                                <w:lang w:val="en-US" w:eastAsia="zh-CN"/>
                              </w:rPr>
                            </w:pPr>
                          </w:p>
                          <w:p w14:paraId="0FE4E6A1">
                            <w:pPr>
                              <w:jc w:val="center"/>
                              <w:rPr>
                                <w:rFonts w:hint="eastAsia"/>
                                <w:lang w:val="en-US" w:eastAsia="zh-CN"/>
                              </w:rPr>
                            </w:pPr>
                          </w:p>
                          <w:p w14:paraId="3C4A6917">
                            <w:pPr>
                              <w:jc w:val="center"/>
                              <w:rPr>
                                <w:rFonts w:ascii="宋体" w:hAnsi="宋体" w:eastAsia="宋体" w:cs="宋体"/>
                                <w:b/>
                                <w:bCs/>
                                <w:sz w:val="24"/>
                                <w:szCs w:val="28"/>
                              </w:rPr>
                            </w:pPr>
                            <w:r>
                              <w:rPr>
                                <w:rFonts w:hint="eastAsia" w:ascii="宋体" w:hAnsi="宋体" w:eastAsia="宋体" w:cs="宋体"/>
                                <w:b/>
                                <w:bCs/>
                                <w:sz w:val="24"/>
                                <w:szCs w:val="28"/>
                              </w:rPr>
                              <w:t>授权人</w:t>
                            </w:r>
                            <w:r>
                              <w:rPr>
                                <w:rFonts w:hint="eastAsia" w:ascii="宋体" w:hAnsi="宋体" w:eastAsia="宋体" w:cs="宋体"/>
                                <w:b/>
                                <w:bCs/>
                                <w:sz w:val="24"/>
                                <w:szCs w:val="28"/>
                                <w:lang w:eastAsia="zh-CN"/>
                              </w:rPr>
                              <w:t>（法定代表人）</w:t>
                            </w:r>
                            <w:r>
                              <w:rPr>
                                <w:rFonts w:hint="eastAsia" w:ascii="宋体" w:hAnsi="宋体" w:eastAsia="宋体" w:cs="宋体"/>
                                <w:b/>
                                <w:bCs/>
                                <w:sz w:val="24"/>
                                <w:szCs w:val="28"/>
                              </w:rPr>
                              <w:t>身份证正面</w:t>
                            </w:r>
                          </w:p>
                          <w:p w14:paraId="60CA0A06">
                            <w:pPr>
                              <w:jc w:val="center"/>
                              <w:rPr>
                                <w:rFonts w:hint="eastAsia" w:ascii="宋体" w:hAnsi="宋体" w:eastAsia="宋体" w:cs="宋体"/>
                                <w:sz w:val="24"/>
                                <w:szCs w:val="24"/>
                                <w:lang w:val="en-US" w:eastAsia="zh-CN"/>
                              </w:rPr>
                            </w:pPr>
                          </w:p>
                        </w:txbxContent>
                      </wps:txbx>
                      <wps:bodyPr rot="0" spcFirstLastPara="0" vertOverflow="overflow" horzOverflow="overflow" vert="horz" wrap="square" lIns="91440" tIns="45720" rIns="91440" bIns="45720" numCol="1" spcCol="0" rtlCol="0" fromWordArt="0" anchor="t" anchorCtr="0" forceAA="0" compatLnSpc="0"/>
                    </wps:wsp>
                  </a:graphicData>
                </a:graphic>
              </wp:anchor>
            </w:drawing>
          </mc:Choice>
          <mc:Fallback>
            <w:pict>
              <v:shape id="文本框 6" o:spid="_x0000_s1026" o:spt="202" type="#_x0000_t202" style="position:absolute;left:0pt;margin-left:-1.95pt;margin-top:2.2pt;height:117.05pt;width:191.2pt;z-index:251659264;mso-width-relative:page;mso-height-relative:page;" fillcolor="#FFFFFF [3201]" filled="t" stroked="t" coordsize="21600,21600" o:gfxdata="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dcIOa9YAAAAIAQAADwAAAAAAAAABACAAAAAiAAAAZHJzL2Rvd25yZXYueG1sUEsBAhQA&#10;FAAAAAgAh07iQAJYBPZmAgAAzQQAAA4AAAAAAAAAAQAgAAAAJQEAAGRycy9lMm9Eb2MueG1sUEsF&#10;BgAAAAAGAAYAWQEAAP0FAAAAAA==&#10;">
                <v:fill on="t" focussize="0,0"/>
                <v:stroke weight="0.5pt" color="#000000 [3204]" joinstyle="round"/>
                <v:imagedata o:title=""/>
                <o:lock v:ext="edit" aspectratio="f"/>
                <v:textbox>
                  <w:txbxContent>
                    <w:p w14:paraId="07FAC7EF">
                      <w:pPr>
                        <w:jc w:val="center"/>
                        <w:rPr>
                          <w:rFonts w:hint="eastAsia"/>
                          <w:lang w:val="en-US" w:eastAsia="zh-CN"/>
                        </w:rPr>
                      </w:pPr>
                    </w:p>
                    <w:p w14:paraId="6A4A124D">
                      <w:pPr>
                        <w:jc w:val="center"/>
                        <w:rPr>
                          <w:rFonts w:hint="eastAsia"/>
                          <w:lang w:val="en-US" w:eastAsia="zh-CN"/>
                        </w:rPr>
                      </w:pPr>
                    </w:p>
                    <w:p w14:paraId="0FE4E6A1">
                      <w:pPr>
                        <w:jc w:val="center"/>
                        <w:rPr>
                          <w:rFonts w:hint="eastAsia"/>
                          <w:lang w:val="en-US" w:eastAsia="zh-CN"/>
                        </w:rPr>
                      </w:pPr>
                    </w:p>
                    <w:p w14:paraId="3C4A6917">
                      <w:pPr>
                        <w:jc w:val="center"/>
                        <w:rPr>
                          <w:rFonts w:ascii="宋体" w:hAnsi="宋体" w:eastAsia="宋体" w:cs="宋体"/>
                          <w:b/>
                          <w:bCs/>
                          <w:sz w:val="24"/>
                          <w:szCs w:val="28"/>
                        </w:rPr>
                      </w:pPr>
                      <w:r>
                        <w:rPr>
                          <w:rFonts w:hint="eastAsia" w:ascii="宋体" w:hAnsi="宋体" w:eastAsia="宋体" w:cs="宋体"/>
                          <w:b/>
                          <w:bCs/>
                          <w:sz w:val="24"/>
                          <w:szCs w:val="28"/>
                        </w:rPr>
                        <w:t>授权人</w:t>
                      </w:r>
                      <w:r>
                        <w:rPr>
                          <w:rFonts w:hint="eastAsia" w:ascii="宋体" w:hAnsi="宋体" w:eastAsia="宋体" w:cs="宋体"/>
                          <w:b/>
                          <w:bCs/>
                          <w:sz w:val="24"/>
                          <w:szCs w:val="28"/>
                          <w:lang w:eastAsia="zh-CN"/>
                        </w:rPr>
                        <w:t>（法定代表人）</w:t>
                      </w:r>
                      <w:r>
                        <w:rPr>
                          <w:rFonts w:hint="eastAsia" w:ascii="宋体" w:hAnsi="宋体" w:eastAsia="宋体" w:cs="宋体"/>
                          <w:b/>
                          <w:bCs/>
                          <w:sz w:val="24"/>
                          <w:szCs w:val="28"/>
                        </w:rPr>
                        <w:t>身份证正面</w:t>
                      </w:r>
                    </w:p>
                    <w:p w14:paraId="60CA0A06">
                      <w:pPr>
                        <w:jc w:val="center"/>
                        <w:rPr>
                          <w:rFonts w:hint="eastAsia" w:ascii="宋体" w:hAnsi="宋体" w:eastAsia="宋体" w:cs="宋体"/>
                          <w:sz w:val="24"/>
                          <w:szCs w:val="24"/>
                          <w:lang w:val="en-US" w:eastAsia="zh-CN"/>
                        </w:rPr>
                      </w:pPr>
                    </w:p>
                  </w:txbxContent>
                </v:textbox>
              </v:shape>
            </w:pict>
          </mc:Fallback>
        </mc:AlternateContent>
      </w:r>
      <w:r>
        <w:rPr>
          <w:rFonts w:hint="eastAsia" w:ascii="宋体" w:hAnsi="宋体" w:eastAsia="宋体"/>
          <w:b w:val="0"/>
          <w:bCs w:val="0"/>
          <w:sz w:val="24"/>
          <w:szCs w:val="24"/>
          <w:lang w:eastAsia="zh-CN"/>
        </w:rPr>
        <w:tab/>
      </w:r>
    </w:p>
    <w:p w14:paraId="7FD7020A">
      <w:pPr>
        <w:spacing w:line="360" w:lineRule="auto"/>
        <w:rPr>
          <w:rFonts w:ascii="宋体" w:hAnsi="宋体" w:eastAsia="宋体"/>
          <w:b w:val="0"/>
          <w:bCs w:val="0"/>
          <w:sz w:val="24"/>
          <w:szCs w:val="24"/>
        </w:rPr>
      </w:pPr>
    </w:p>
    <w:p w14:paraId="709C6FDE">
      <w:pPr>
        <w:spacing w:line="360" w:lineRule="auto"/>
        <w:rPr>
          <w:rFonts w:hint="eastAsia" w:ascii="宋体" w:hAnsi="宋体" w:eastAsia="宋体"/>
          <w:b w:val="0"/>
          <w:bCs w:val="0"/>
          <w:sz w:val="24"/>
          <w:szCs w:val="24"/>
          <w:lang w:val="en-US" w:eastAsia="zh-CN"/>
        </w:rPr>
      </w:pPr>
    </w:p>
    <w:p w14:paraId="7EDF7716">
      <w:pPr>
        <w:spacing w:line="360" w:lineRule="auto"/>
        <w:rPr>
          <w:rFonts w:hint="eastAsia" w:ascii="宋体" w:hAnsi="宋体" w:eastAsia="宋体"/>
          <w:b w:val="0"/>
          <w:bCs w:val="0"/>
          <w:sz w:val="24"/>
          <w:szCs w:val="24"/>
          <w:lang w:val="en-US" w:eastAsia="zh-CN"/>
        </w:rPr>
      </w:pPr>
    </w:p>
    <w:p w14:paraId="46EF3E9A">
      <w:pPr>
        <w:spacing w:line="360" w:lineRule="auto"/>
        <w:rPr>
          <w:rFonts w:hint="eastAsia" w:ascii="宋体" w:hAnsi="宋体" w:eastAsia="宋体"/>
          <w:b w:val="0"/>
          <w:bCs w:val="0"/>
          <w:sz w:val="24"/>
          <w:szCs w:val="24"/>
          <w:lang w:val="en-US" w:eastAsia="zh-CN"/>
        </w:rPr>
      </w:pPr>
    </w:p>
    <w:p w14:paraId="50EECDAF">
      <w:pPr>
        <w:spacing w:line="360" w:lineRule="auto"/>
        <w:rPr>
          <w:rFonts w:hint="eastAsia" w:ascii="宋体" w:hAnsi="宋体" w:eastAsia="宋体"/>
          <w:b w:val="0"/>
          <w:bCs w:val="0"/>
          <w:sz w:val="24"/>
          <w:szCs w:val="24"/>
          <w:lang w:val="en-US" w:eastAsia="zh-CN"/>
        </w:rPr>
      </w:pPr>
    </w:p>
    <w:p w14:paraId="5A55DB9A">
      <w:pPr>
        <w:spacing w:line="360" w:lineRule="auto"/>
        <w:rPr>
          <w:rFonts w:hint="eastAsia" w:ascii="宋体" w:hAnsi="宋体" w:eastAsia="宋体"/>
          <w:b w:val="0"/>
          <w:bCs w:val="0"/>
          <w:sz w:val="24"/>
          <w:szCs w:val="24"/>
          <w:lang w:val="en-US" w:eastAsia="zh-CN"/>
        </w:rPr>
      </w:pPr>
    </w:p>
    <w:p w14:paraId="2E0E6749">
      <w:pPr>
        <w:spacing w:line="360" w:lineRule="auto"/>
        <w:rPr>
          <w:rFonts w:hint="eastAsia" w:ascii="宋体" w:hAnsi="宋体" w:eastAsia="宋体"/>
          <w:b w:val="0"/>
          <w:bCs w:val="0"/>
          <w:sz w:val="24"/>
          <w:szCs w:val="24"/>
          <w:lang w:val="en-US" w:eastAsia="zh-CN"/>
        </w:rPr>
      </w:pPr>
      <w:r>
        <w:rPr>
          <w:b w:val="0"/>
          <w:bCs w:val="0"/>
          <w:sz w:val="20"/>
        </w:rPr>
        <mc:AlternateContent>
          <mc:Choice Requires="wps">
            <w:drawing>
              <wp:anchor distT="0" distB="0" distL="114300" distR="114300" simplePos="0" relativeHeight="251659264" behindDoc="0" locked="0" layoutInCell="1" allowOverlap="1">
                <wp:simplePos x="0" y="0"/>
                <wp:positionH relativeFrom="column">
                  <wp:posOffset>3032760</wp:posOffset>
                </wp:positionH>
                <wp:positionV relativeFrom="paragraph">
                  <wp:posOffset>45085</wp:posOffset>
                </wp:positionV>
                <wp:extent cx="2371725" cy="1476375"/>
                <wp:effectExtent l="4445" t="4445" r="5080" b="5080"/>
                <wp:wrapNone/>
                <wp:docPr id="4" name="文本框 4"/>
                <wp:cNvGraphicFramePr/>
                <a:graphic xmlns:a="http://schemas.openxmlformats.org/drawingml/2006/main">
                  <a:graphicData uri="http://schemas.microsoft.com/office/word/2010/wordprocessingShape">
                    <wps:wsp>
                      <wps:cNvSpPr txBox="1"/>
                      <wps:spPr>
                        <a:xfrm>
                          <a:off x="0" y="0"/>
                          <a:ext cx="2373630" cy="1478280"/>
                        </a:xfrm>
                        <a:prstGeom prst="rect">
                          <a:avLst/>
                        </a:prstGeom>
                        <a:solidFill>
                          <a:schemeClr val="lt1"/>
                        </a:solidFill>
                        <a:ln w="6350" cap="flat" cmpd="sng">
                          <a:solidFill>
                            <a:prstClr val="black"/>
                          </a:solidFill>
                          <a:prstDash val="solid"/>
                        </a:ln>
                      </wps:spPr>
                      <wps:style>
                        <a:lnRef idx="0">
                          <a:schemeClr val="accent1"/>
                        </a:lnRef>
                        <a:fillRef idx="0">
                          <a:schemeClr val="accent1"/>
                        </a:fillRef>
                        <a:effectRef idx="0">
                          <a:schemeClr val="accent1"/>
                        </a:effectRef>
                        <a:fontRef idx="minor">
                          <a:schemeClr val="dk1"/>
                        </a:fontRef>
                      </wps:style>
                      <wps:txbx>
                        <w:txbxContent>
                          <w:p w14:paraId="002F096D">
                            <w:pPr>
                              <w:rPr>
                                <w:rFonts w:hint="eastAsia"/>
                                <w:lang w:val="en-US" w:eastAsia="zh-CN"/>
                              </w:rPr>
                            </w:pPr>
                          </w:p>
                          <w:p w14:paraId="4B17FF2E">
                            <w:pPr>
                              <w:rPr>
                                <w:rFonts w:hint="eastAsia"/>
                                <w:lang w:val="en-US" w:eastAsia="zh-CN"/>
                              </w:rPr>
                            </w:pPr>
                          </w:p>
                          <w:p w14:paraId="154B2EB0">
                            <w:pPr>
                              <w:rPr>
                                <w:rFonts w:hint="eastAsia"/>
                                <w:lang w:val="en-US" w:eastAsia="zh-CN"/>
                              </w:rPr>
                            </w:pPr>
                          </w:p>
                          <w:p w14:paraId="4C1FE89E">
                            <w:pPr>
                              <w:jc w:val="center"/>
                              <w:rPr>
                                <w:b/>
                                <w:bCs/>
                              </w:rPr>
                            </w:pPr>
                            <w:r>
                              <w:rPr>
                                <w:rFonts w:hint="eastAsia" w:ascii="宋体" w:hAnsi="宋体" w:eastAsia="宋体" w:cs="宋体"/>
                                <w:b/>
                                <w:bCs/>
                                <w:sz w:val="24"/>
                                <w:lang w:eastAsia="zh-CN"/>
                              </w:rPr>
                              <w:t>授权委托人</w:t>
                            </w:r>
                            <w:r>
                              <w:rPr>
                                <w:rFonts w:hint="eastAsia" w:ascii="宋体" w:hAnsi="宋体" w:eastAsia="宋体" w:cs="宋体"/>
                                <w:b/>
                                <w:bCs/>
                                <w:sz w:val="24"/>
                              </w:rPr>
                              <w:t>身份证反面</w:t>
                            </w:r>
                          </w:p>
                          <w:p w14:paraId="4C9DBC88">
                            <w:pPr>
                              <w:ind w:firstLine="400"/>
                              <w:rPr>
                                <w:rFonts w:hint="default" w:eastAsiaTheme="minorEastAsia"/>
                                <w:lang w:val="en-US" w:eastAsia="zh-CN"/>
                              </w:rPr>
                            </w:pPr>
                          </w:p>
                        </w:txbxContent>
                      </wps:txbx>
                      <wps:bodyPr rot="0" spcFirstLastPara="0" vertOverflow="overflow" horzOverflow="overflow" vert="horz" wrap="square" lIns="91440" tIns="45720" rIns="91440" bIns="45720" numCol="1" spcCol="0" rtlCol="0" fromWordArt="0" anchor="t" anchorCtr="0" forceAA="0" compatLnSpc="0"/>
                    </wps:wsp>
                  </a:graphicData>
                </a:graphic>
              </wp:anchor>
            </w:drawing>
          </mc:Choice>
          <mc:Fallback>
            <w:pict>
              <v:shape id="_x0000_s1026" o:spid="_x0000_s1026" o:spt="202" type="#_x0000_t202" style="position:absolute;left:0pt;margin-left:238.8pt;margin-top:3.55pt;height:116.25pt;width:186.75pt;z-index:251659264;mso-width-relative:page;mso-height-relative:page;" fillcolor="#FFFFFF [3201]" filled="t" stroked="t" coordsize="21600,21600" o:gfxdata="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KR7yjNcAAAAJAQAADwAAAAAAAAABACAAAAAiAAAAZHJzL2Rvd25yZXYueG1sUEsBAhQA&#10;FAAAAAgAh07iQGn5kGZlAgAAzQQAAA4AAAAAAAAAAQAgAAAAJgEAAGRycy9lMm9Eb2MueG1sUEsF&#10;BgAAAAAGAAYAWQEAAP0FAAAAAA==&#10;">
                <v:fill on="t" focussize="0,0"/>
                <v:stroke weight="0.5pt" color="#000000 [3204]" joinstyle="round"/>
                <v:imagedata o:title=""/>
                <o:lock v:ext="edit" aspectratio="f"/>
                <v:textbox>
                  <w:txbxContent>
                    <w:p w14:paraId="002F096D">
                      <w:pPr>
                        <w:rPr>
                          <w:rFonts w:hint="eastAsia"/>
                          <w:lang w:val="en-US" w:eastAsia="zh-CN"/>
                        </w:rPr>
                      </w:pPr>
                    </w:p>
                    <w:p w14:paraId="4B17FF2E">
                      <w:pPr>
                        <w:rPr>
                          <w:rFonts w:hint="eastAsia"/>
                          <w:lang w:val="en-US" w:eastAsia="zh-CN"/>
                        </w:rPr>
                      </w:pPr>
                    </w:p>
                    <w:p w14:paraId="154B2EB0">
                      <w:pPr>
                        <w:rPr>
                          <w:rFonts w:hint="eastAsia"/>
                          <w:lang w:val="en-US" w:eastAsia="zh-CN"/>
                        </w:rPr>
                      </w:pPr>
                    </w:p>
                    <w:p w14:paraId="4C1FE89E">
                      <w:pPr>
                        <w:jc w:val="center"/>
                        <w:rPr>
                          <w:b/>
                          <w:bCs/>
                        </w:rPr>
                      </w:pPr>
                      <w:r>
                        <w:rPr>
                          <w:rFonts w:hint="eastAsia" w:ascii="宋体" w:hAnsi="宋体" w:eastAsia="宋体" w:cs="宋体"/>
                          <w:b/>
                          <w:bCs/>
                          <w:sz w:val="24"/>
                          <w:lang w:eastAsia="zh-CN"/>
                        </w:rPr>
                        <w:t>授权委托人</w:t>
                      </w:r>
                      <w:r>
                        <w:rPr>
                          <w:rFonts w:hint="eastAsia" w:ascii="宋体" w:hAnsi="宋体" w:eastAsia="宋体" w:cs="宋体"/>
                          <w:b/>
                          <w:bCs/>
                          <w:sz w:val="24"/>
                        </w:rPr>
                        <w:t>身份证反面</w:t>
                      </w:r>
                    </w:p>
                    <w:p w14:paraId="4C9DBC88">
                      <w:pPr>
                        <w:ind w:firstLine="400"/>
                        <w:rPr>
                          <w:rFonts w:hint="default" w:eastAsiaTheme="minorEastAsia"/>
                          <w:lang w:val="en-US" w:eastAsia="zh-CN"/>
                        </w:rPr>
                      </w:pPr>
                    </w:p>
                  </w:txbxContent>
                </v:textbox>
              </v:shape>
            </w:pict>
          </mc:Fallback>
        </mc:AlternateContent>
      </w:r>
      <w:r>
        <w:rPr>
          <w:b w:val="0"/>
          <w:bCs w:val="0"/>
          <w:sz w:val="20"/>
        </w:rPr>
        <mc:AlternateContent>
          <mc:Choice Requires="wps">
            <w:drawing>
              <wp:anchor distT="0" distB="0" distL="114300" distR="114300" simplePos="0" relativeHeight="251659264" behindDoc="0" locked="0" layoutInCell="1" allowOverlap="1">
                <wp:simplePos x="0" y="0"/>
                <wp:positionH relativeFrom="column">
                  <wp:posOffset>-24765</wp:posOffset>
                </wp:positionH>
                <wp:positionV relativeFrom="paragraph">
                  <wp:posOffset>24130</wp:posOffset>
                </wp:positionV>
                <wp:extent cx="2419350" cy="1486535"/>
                <wp:effectExtent l="4445" t="4445" r="14605" b="13970"/>
                <wp:wrapNone/>
                <wp:docPr id="5" name="文本框 2"/>
                <wp:cNvGraphicFramePr/>
                <a:graphic xmlns:a="http://schemas.openxmlformats.org/drawingml/2006/main">
                  <a:graphicData uri="http://schemas.microsoft.com/office/word/2010/wordprocessingShape">
                    <wps:wsp>
                      <wps:cNvSpPr txBox="1"/>
                      <wps:spPr>
                        <a:xfrm>
                          <a:off x="0" y="0"/>
                          <a:ext cx="2421255" cy="1488440"/>
                        </a:xfrm>
                        <a:prstGeom prst="rect">
                          <a:avLst/>
                        </a:prstGeom>
                        <a:solidFill>
                          <a:schemeClr val="lt1"/>
                        </a:solidFill>
                        <a:ln w="6350" cap="flat" cmpd="sng">
                          <a:solidFill>
                            <a:prstClr val="black"/>
                          </a:solidFill>
                          <a:prstDash val="solid"/>
                        </a:ln>
                      </wps:spPr>
                      <wps:style>
                        <a:lnRef idx="0">
                          <a:schemeClr val="accent1"/>
                        </a:lnRef>
                        <a:fillRef idx="0">
                          <a:schemeClr val="accent1"/>
                        </a:fillRef>
                        <a:effectRef idx="0">
                          <a:schemeClr val="accent1"/>
                        </a:effectRef>
                        <a:fontRef idx="minor">
                          <a:schemeClr val="dk1"/>
                        </a:fontRef>
                      </wps:style>
                      <wps:txbx>
                        <w:txbxContent>
                          <w:p w14:paraId="79C7F92D">
                            <w:pPr>
                              <w:rPr>
                                <w:rFonts w:hint="eastAsia"/>
                                <w:lang w:val="en-US" w:eastAsia="zh-CN"/>
                              </w:rPr>
                            </w:pPr>
                          </w:p>
                          <w:p w14:paraId="047C24FE">
                            <w:pPr>
                              <w:rPr>
                                <w:rFonts w:hint="eastAsia"/>
                                <w:lang w:val="en-US" w:eastAsia="zh-CN"/>
                              </w:rPr>
                            </w:pPr>
                          </w:p>
                          <w:p w14:paraId="2FE09628">
                            <w:pPr>
                              <w:rPr>
                                <w:rFonts w:hint="eastAsia"/>
                                <w:lang w:val="en-US" w:eastAsia="zh-CN"/>
                              </w:rPr>
                            </w:pPr>
                          </w:p>
                          <w:p w14:paraId="7DBBC467">
                            <w:pPr>
                              <w:jc w:val="center"/>
                              <w:rPr>
                                <w:rFonts w:ascii="宋体" w:hAnsi="宋体" w:eastAsia="宋体" w:cs="宋体"/>
                                <w:b/>
                                <w:bCs/>
                                <w:sz w:val="24"/>
                                <w:szCs w:val="28"/>
                              </w:rPr>
                            </w:pPr>
                            <w:r>
                              <w:rPr>
                                <w:rFonts w:hint="eastAsia" w:ascii="宋体" w:hAnsi="宋体" w:eastAsia="宋体" w:cs="宋体"/>
                                <w:b/>
                                <w:bCs/>
                                <w:sz w:val="24"/>
                                <w:szCs w:val="28"/>
                              </w:rPr>
                              <w:t>授权人</w:t>
                            </w:r>
                            <w:r>
                              <w:rPr>
                                <w:rFonts w:hint="eastAsia" w:ascii="宋体" w:hAnsi="宋体" w:eastAsia="宋体" w:cs="宋体"/>
                                <w:b/>
                                <w:bCs/>
                                <w:sz w:val="24"/>
                                <w:szCs w:val="28"/>
                                <w:lang w:eastAsia="zh-CN"/>
                              </w:rPr>
                              <w:t>（法定代表人）</w:t>
                            </w:r>
                            <w:r>
                              <w:rPr>
                                <w:rFonts w:hint="eastAsia" w:ascii="宋体" w:hAnsi="宋体" w:eastAsia="宋体" w:cs="宋体"/>
                                <w:b/>
                                <w:bCs/>
                                <w:sz w:val="24"/>
                                <w:szCs w:val="28"/>
                              </w:rPr>
                              <w:t>身份证正面</w:t>
                            </w:r>
                          </w:p>
                          <w:p w14:paraId="13BC9013">
                            <w:pPr>
                              <w:ind w:firstLine="300"/>
                              <w:rPr>
                                <w:rFonts w:hint="eastAsia" w:ascii="宋体" w:hAnsi="宋体" w:eastAsia="宋体" w:cs="宋体"/>
                                <w:sz w:val="24"/>
                                <w:szCs w:val="24"/>
                                <w:lang w:val="en-US" w:eastAsia="zh-CN"/>
                              </w:rPr>
                            </w:pPr>
                          </w:p>
                        </w:txbxContent>
                      </wps:txbx>
                      <wps:bodyPr rot="0" spcFirstLastPara="0" vertOverflow="overflow" horzOverflow="overflow" vert="horz" wrap="square" lIns="91440" tIns="45720" rIns="91440" bIns="45720" numCol="1" spcCol="0" rtlCol="0" fromWordArt="0" anchor="t" anchorCtr="0" forceAA="0" compatLnSpc="0"/>
                    </wps:wsp>
                  </a:graphicData>
                </a:graphic>
              </wp:anchor>
            </w:drawing>
          </mc:Choice>
          <mc:Fallback>
            <w:pict>
              <v:shape id="文本框 2" o:spid="_x0000_s1026" o:spt="202" type="#_x0000_t202" style="position:absolute;left:0pt;margin-left:-1.95pt;margin-top:1.9pt;height:117.05pt;width:190.5pt;z-index:251659264;mso-width-relative:page;mso-height-relative:page;" fillcolor="#FFFFFF [3201]" filled="t" stroked="t" coordsize="21600,21600" o:gfxdata="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LWcmAnVAAAACAEAAA8AAAAAAAAAAQAgAAAAIgAAAGRycy9kb3ducmV2LnhtbFBLAQIUABQA&#10;AAAIAIdO4kC1qSlqZQIAAM0EAAAOAAAAAAAAAAEAIAAAACQBAABkcnMvZTJvRG9jLnhtbFBLBQYA&#10;AAAABgAGAFkBAAD7BQAAAAA=&#10;">
                <v:fill on="t" focussize="0,0"/>
                <v:stroke weight="0.5pt" color="#000000 [3204]" joinstyle="round"/>
                <v:imagedata o:title=""/>
                <o:lock v:ext="edit" aspectratio="f"/>
                <v:textbox>
                  <w:txbxContent>
                    <w:p w14:paraId="79C7F92D">
                      <w:pPr>
                        <w:rPr>
                          <w:rFonts w:hint="eastAsia"/>
                          <w:lang w:val="en-US" w:eastAsia="zh-CN"/>
                        </w:rPr>
                      </w:pPr>
                    </w:p>
                    <w:p w14:paraId="047C24FE">
                      <w:pPr>
                        <w:rPr>
                          <w:rFonts w:hint="eastAsia"/>
                          <w:lang w:val="en-US" w:eastAsia="zh-CN"/>
                        </w:rPr>
                      </w:pPr>
                    </w:p>
                    <w:p w14:paraId="2FE09628">
                      <w:pPr>
                        <w:rPr>
                          <w:rFonts w:hint="eastAsia"/>
                          <w:lang w:val="en-US" w:eastAsia="zh-CN"/>
                        </w:rPr>
                      </w:pPr>
                    </w:p>
                    <w:p w14:paraId="7DBBC467">
                      <w:pPr>
                        <w:jc w:val="center"/>
                        <w:rPr>
                          <w:rFonts w:ascii="宋体" w:hAnsi="宋体" w:eastAsia="宋体" w:cs="宋体"/>
                          <w:b/>
                          <w:bCs/>
                          <w:sz w:val="24"/>
                          <w:szCs w:val="28"/>
                        </w:rPr>
                      </w:pPr>
                      <w:r>
                        <w:rPr>
                          <w:rFonts w:hint="eastAsia" w:ascii="宋体" w:hAnsi="宋体" w:eastAsia="宋体" w:cs="宋体"/>
                          <w:b/>
                          <w:bCs/>
                          <w:sz w:val="24"/>
                          <w:szCs w:val="28"/>
                        </w:rPr>
                        <w:t>授权人</w:t>
                      </w:r>
                      <w:r>
                        <w:rPr>
                          <w:rFonts w:hint="eastAsia" w:ascii="宋体" w:hAnsi="宋体" w:eastAsia="宋体" w:cs="宋体"/>
                          <w:b/>
                          <w:bCs/>
                          <w:sz w:val="24"/>
                          <w:szCs w:val="28"/>
                          <w:lang w:eastAsia="zh-CN"/>
                        </w:rPr>
                        <w:t>（法定代表人）</w:t>
                      </w:r>
                      <w:r>
                        <w:rPr>
                          <w:rFonts w:hint="eastAsia" w:ascii="宋体" w:hAnsi="宋体" w:eastAsia="宋体" w:cs="宋体"/>
                          <w:b/>
                          <w:bCs/>
                          <w:sz w:val="24"/>
                          <w:szCs w:val="28"/>
                        </w:rPr>
                        <w:t>身份证正面</w:t>
                      </w:r>
                    </w:p>
                    <w:p w14:paraId="13BC9013">
                      <w:pPr>
                        <w:ind w:firstLine="300"/>
                        <w:rPr>
                          <w:rFonts w:hint="eastAsia" w:ascii="宋体" w:hAnsi="宋体" w:eastAsia="宋体" w:cs="宋体"/>
                          <w:sz w:val="24"/>
                          <w:szCs w:val="24"/>
                          <w:lang w:val="en-US" w:eastAsia="zh-CN"/>
                        </w:rPr>
                      </w:pPr>
                    </w:p>
                  </w:txbxContent>
                </v:textbox>
              </v:shape>
            </w:pict>
          </mc:Fallback>
        </mc:AlternateContent>
      </w:r>
    </w:p>
    <w:p w14:paraId="6DD1ACD4">
      <w:pPr>
        <w:spacing w:line="360" w:lineRule="auto"/>
        <w:rPr>
          <w:rFonts w:hint="eastAsia" w:ascii="宋体" w:hAnsi="宋体" w:eastAsia="宋体"/>
          <w:b w:val="0"/>
          <w:bCs w:val="0"/>
          <w:sz w:val="24"/>
          <w:szCs w:val="24"/>
          <w:lang w:val="en-US" w:eastAsia="zh-CN"/>
        </w:rPr>
      </w:pPr>
    </w:p>
    <w:p w14:paraId="6E7374D4">
      <w:pPr>
        <w:spacing w:line="360" w:lineRule="auto"/>
        <w:rPr>
          <w:rFonts w:hint="eastAsia" w:ascii="宋体" w:hAnsi="宋体" w:eastAsia="宋体"/>
          <w:b w:val="0"/>
          <w:bCs w:val="0"/>
          <w:sz w:val="24"/>
          <w:szCs w:val="24"/>
          <w:lang w:val="en-US" w:eastAsia="zh-CN"/>
        </w:rPr>
      </w:pPr>
    </w:p>
    <w:p w14:paraId="74787D05">
      <w:pPr>
        <w:spacing w:line="360" w:lineRule="auto"/>
        <w:rPr>
          <w:rFonts w:hint="eastAsia" w:ascii="宋体" w:hAnsi="宋体" w:eastAsia="宋体"/>
          <w:b w:val="0"/>
          <w:bCs w:val="0"/>
          <w:sz w:val="24"/>
          <w:szCs w:val="24"/>
          <w:lang w:val="en-US" w:eastAsia="zh-CN"/>
        </w:rPr>
      </w:pPr>
    </w:p>
    <w:p w14:paraId="293AEA8D">
      <w:pPr>
        <w:spacing w:line="360" w:lineRule="auto"/>
        <w:rPr>
          <w:rFonts w:hint="eastAsia" w:ascii="宋体" w:hAnsi="宋体" w:eastAsia="宋体"/>
          <w:b w:val="0"/>
          <w:bCs w:val="0"/>
          <w:sz w:val="24"/>
          <w:szCs w:val="24"/>
          <w:lang w:val="en-US" w:eastAsia="zh-CN"/>
        </w:rPr>
      </w:pPr>
    </w:p>
    <w:p w14:paraId="1AB917B8">
      <w:pPr>
        <w:spacing w:line="360" w:lineRule="auto"/>
        <w:rPr>
          <w:rFonts w:hint="eastAsia" w:ascii="宋体" w:hAnsi="宋体" w:eastAsia="宋体"/>
          <w:b w:val="0"/>
          <w:bCs w:val="0"/>
          <w:sz w:val="24"/>
          <w:szCs w:val="24"/>
          <w:lang w:val="en-US" w:eastAsia="zh-CN"/>
        </w:rPr>
      </w:pPr>
    </w:p>
    <w:p w14:paraId="4B49A599">
      <w:pPr>
        <w:spacing w:line="360" w:lineRule="auto"/>
        <w:rPr>
          <w:rFonts w:hint="eastAsia" w:ascii="宋体" w:hAnsi="宋体" w:eastAsia="宋体" w:cs="宋体"/>
          <w:b w:val="0"/>
          <w:bCs w:val="0"/>
          <w:sz w:val="24"/>
          <w:szCs w:val="24"/>
        </w:rPr>
      </w:pPr>
      <w:r>
        <w:rPr>
          <w:rFonts w:hint="eastAsia" w:ascii="宋体" w:hAnsi="宋体" w:eastAsia="宋体"/>
          <w:b w:val="0"/>
          <w:bCs w:val="0"/>
          <w:sz w:val="24"/>
          <w:lang w:val="en-US" w:eastAsia="zh-CN"/>
        </w:rPr>
        <w:t>投标</w:t>
      </w:r>
      <w:r>
        <w:rPr>
          <w:rFonts w:hint="eastAsia" w:ascii="宋体" w:hAnsi="宋体" w:eastAsia="宋体"/>
          <w:b w:val="0"/>
          <w:bCs w:val="0"/>
          <w:sz w:val="24"/>
        </w:rPr>
        <w:t>供应商</w:t>
      </w:r>
      <w:r>
        <w:rPr>
          <w:rFonts w:hint="eastAsia" w:ascii="宋体" w:hAnsi="宋体" w:eastAsia="宋体" w:cs="宋体"/>
          <w:b w:val="0"/>
          <w:bCs w:val="0"/>
          <w:sz w:val="24"/>
          <w:szCs w:val="24"/>
        </w:rPr>
        <w:t>：_____（盖单位章）</w:t>
      </w:r>
    </w:p>
    <w:p w14:paraId="6CA530EF">
      <w:pPr>
        <w:spacing w:line="360" w:lineRule="auto"/>
        <w:rPr>
          <w:rFonts w:hint="eastAsia" w:ascii="宋体" w:hAnsi="宋体" w:eastAsia="宋体" w:cs="宋体"/>
          <w:b w:val="0"/>
          <w:bCs w:val="0"/>
          <w:sz w:val="24"/>
          <w:szCs w:val="24"/>
        </w:rPr>
      </w:pPr>
    </w:p>
    <w:p w14:paraId="01200CB6">
      <w:pPr>
        <w:spacing w:line="360" w:lineRule="auto"/>
        <w:rPr>
          <w:rFonts w:hint="eastAsia" w:ascii="宋体" w:hAnsi="宋体" w:eastAsia="宋体" w:cs="宋体"/>
          <w:b w:val="0"/>
          <w:bCs w:val="0"/>
          <w:sz w:val="24"/>
          <w:szCs w:val="24"/>
          <w:u w:val="single"/>
        </w:rPr>
      </w:pPr>
      <w:r>
        <w:rPr>
          <w:rFonts w:hint="eastAsia" w:ascii="宋体" w:hAnsi="宋体" w:eastAsia="宋体" w:cs="宋体"/>
          <w:b w:val="0"/>
          <w:bCs w:val="0"/>
          <w:sz w:val="24"/>
          <w:szCs w:val="24"/>
        </w:rPr>
        <w:t>法定代表人签字：</w:t>
      </w:r>
      <w:r>
        <w:rPr>
          <w:rFonts w:hint="eastAsia" w:ascii="宋体" w:hAnsi="宋体" w:eastAsia="宋体" w:cs="宋体"/>
          <w:b w:val="0"/>
          <w:bCs w:val="0"/>
          <w:sz w:val="24"/>
          <w:szCs w:val="24"/>
          <w:u w:val="single"/>
        </w:rPr>
        <w:t xml:space="preserve">             </w:t>
      </w:r>
    </w:p>
    <w:p w14:paraId="1B3E5986">
      <w:pPr>
        <w:spacing w:line="360" w:lineRule="auto"/>
        <w:rPr>
          <w:rFonts w:hint="eastAsia" w:ascii="宋体" w:hAnsi="宋体" w:eastAsia="宋体" w:cs="宋体"/>
          <w:b w:val="0"/>
          <w:bCs w:val="0"/>
          <w:sz w:val="24"/>
          <w:szCs w:val="24"/>
        </w:rPr>
      </w:pPr>
    </w:p>
    <w:p w14:paraId="61C2FAC3">
      <w:pPr>
        <w:spacing w:line="360" w:lineRule="auto"/>
        <w:rPr>
          <w:rFonts w:hint="eastAsia" w:ascii="宋体" w:hAnsi="宋体" w:eastAsia="宋体" w:cs="宋体"/>
          <w:b w:val="0"/>
          <w:bCs w:val="0"/>
          <w:sz w:val="24"/>
          <w:szCs w:val="24"/>
          <w:u w:val="single"/>
        </w:rPr>
      </w:pPr>
      <w:r>
        <w:rPr>
          <w:rFonts w:hint="eastAsia" w:ascii="宋体" w:hAnsi="宋体" w:eastAsia="宋体" w:cs="宋体"/>
          <w:b w:val="0"/>
          <w:bCs w:val="0"/>
          <w:sz w:val="24"/>
          <w:szCs w:val="24"/>
          <w:lang w:eastAsia="zh-CN"/>
        </w:rPr>
        <w:t>授权委托人</w:t>
      </w:r>
      <w:r>
        <w:rPr>
          <w:rFonts w:hint="eastAsia" w:ascii="宋体" w:hAnsi="宋体" w:eastAsia="宋体" w:cs="宋体"/>
          <w:b w:val="0"/>
          <w:bCs w:val="0"/>
          <w:sz w:val="24"/>
          <w:szCs w:val="24"/>
        </w:rPr>
        <w:t>签字：</w:t>
      </w:r>
      <w:r>
        <w:rPr>
          <w:rFonts w:hint="eastAsia" w:ascii="宋体" w:hAnsi="宋体" w:eastAsia="宋体" w:cs="宋体"/>
          <w:b w:val="0"/>
          <w:bCs w:val="0"/>
          <w:sz w:val="24"/>
          <w:szCs w:val="24"/>
          <w:u w:val="single"/>
        </w:rPr>
        <w:t xml:space="preserve">             </w:t>
      </w:r>
    </w:p>
    <w:p w14:paraId="2383F2A1">
      <w:pPr>
        <w:spacing w:line="360" w:lineRule="auto"/>
        <w:rPr>
          <w:rFonts w:hint="eastAsia" w:ascii="宋体" w:hAnsi="宋体" w:eastAsia="宋体" w:cs="宋体"/>
          <w:b w:val="0"/>
          <w:bCs w:val="0"/>
          <w:sz w:val="24"/>
          <w:szCs w:val="24"/>
          <w:u w:val="single"/>
        </w:rPr>
      </w:pPr>
    </w:p>
    <w:p w14:paraId="3CFCE54D">
      <w:pPr>
        <w:spacing w:line="360" w:lineRule="auto"/>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rPr>
        <w:t>______年_____月_____日</w:t>
      </w:r>
    </w:p>
    <w:p w14:paraId="74CC532B">
      <w:pPr>
        <w:tabs>
          <w:tab w:val="left" w:pos="1326"/>
        </w:tabs>
        <w:bidi w:val="0"/>
        <w:jc w:val="left"/>
        <w:rPr>
          <w:rFonts w:hint="eastAsia" w:ascii="宋体" w:hAnsi="宋体" w:eastAsia="宋体" w:cs="宋体"/>
          <w:sz w:val="24"/>
          <w:szCs w:val="24"/>
          <w:lang w:val="en-US" w:eastAsia="zh-CN"/>
        </w:rPr>
      </w:pPr>
    </w:p>
    <w:p w14:paraId="3492233A">
      <w:pPr>
        <w:keepNext w:val="0"/>
        <w:keepLines w:val="0"/>
        <w:pageBreakBefore w:val="0"/>
        <w:numPr>
          <w:ilvl w:val="0"/>
          <w:numId w:val="0"/>
        </w:numPr>
        <w:tabs>
          <w:tab w:val="left" w:pos="1326"/>
        </w:tabs>
        <w:kinsoku/>
        <w:overflowPunct/>
        <w:topLinePunct w:val="0"/>
        <w:autoSpaceDE/>
        <w:autoSpaceDN/>
        <w:bidi w:val="0"/>
        <w:adjustRightInd/>
        <w:snapToGrid/>
        <w:spacing w:line="360" w:lineRule="auto"/>
        <w:ind w:left="0" w:right="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五、投标供应商基本情况表</w:t>
      </w:r>
    </w:p>
    <w:p w14:paraId="56012C9B">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right="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（营业执照、资质证书等复印件）</w:t>
      </w:r>
    </w:p>
    <w:p w14:paraId="3ADFF38D">
      <w:pPr>
        <w:pStyle w:val="4"/>
        <w:keepNext w:val="0"/>
        <w:keepLines w:val="0"/>
        <w:pageBreakBefore w:val="0"/>
        <w:kinsoku/>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val="en-US" w:eastAsia="zh-CN"/>
        </w:rPr>
      </w:pPr>
    </w:p>
    <w:p w14:paraId="35E2DAF2">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lang w:val="en-US" w:eastAsia="zh-CN"/>
        </w:rPr>
      </w:pPr>
    </w:p>
    <w:p w14:paraId="47BE0D19">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leftChars="0" w:right="0" w:rightChars="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bCs/>
          <w:sz w:val="28"/>
          <w:szCs w:val="28"/>
          <w:lang w:val="en-US" w:eastAsia="zh-CN" w:bidi="ar-SA"/>
        </w:rPr>
        <w:t>六、</w:t>
      </w:r>
      <w:r>
        <w:rPr>
          <w:rFonts w:hint="eastAsia" w:ascii="宋体" w:hAnsi="宋体" w:eastAsia="宋体" w:cs="宋体"/>
          <w:b/>
          <w:sz w:val="28"/>
          <w:szCs w:val="28"/>
          <w:lang w:val="en-US" w:eastAsia="zh-CN"/>
        </w:rPr>
        <w:t xml:space="preserve">提供具有独立承担民事责任的能力的证明材料 </w:t>
      </w:r>
    </w:p>
    <w:p w14:paraId="08A98769">
      <w:pPr>
        <w:pStyle w:val="4"/>
        <w:keepNext w:val="0"/>
        <w:keepLines w:val="0"/>
        <w:pageBreakBefore w:val="0"/>
        <w:numPr>
          <w:ilvl w:val="0"/>
          <w:numId w:val="0"/>
        </w:numPr>
        <w:kinsoku/>
        <w:overflowPunct/>
        <w:topLinePunct w:val="0"/>
        <w:autoSpaceDE/>
        <w:autoSpaceDN/>
        <w:bidi w:val="0"/>
        <w:adjustRightInd/>
        <w:snapToGrid/>
        <w:spacing w:line="360" w:lineRule="auto"/>
        <w:ind w:firstLine="320" w:firstLineChars="200"/>
        <w:jc w:val="left"/>
        <w:textAlignment w:val="auto"/>
        <w:outlineLvl w:val="2"/>
        <w:rPr>
          <w:rFonts w:hint="eastAsia"/>
          <w:lang w:val="en-US" w:eastAsia="zh-CN"/>
        </w:rPr>
      </w:pPr>
    </w:p>
    <w:p w14:paraId="1B14AB80">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lang w:val="en-US" w:eastAsia="zh-CN"/>
        </w:rPr>
      </w:pPr>
    </w:p>
    <w:p w14:paraId="01BB30C3">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leftChars="0" w:right="0" w:rightChars="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bCs/>
          <w:sz w:val="28"/>
          <w:szCs w:val="28"/>
          <w:lang w:val="en-US" w:eastAsia="zh-CN" w:bidi="ar-SA"/>
        </w:rPr>
        <w:t>七、</w:t>
      </w:r>
      <w:r>
        <w:rPr>
          <w:rFonts w:hint="eastAsia" w:ascii="宋体" w:hAnsi="宋体" w:eastAsia="宋体" w:cs="宋体"/>
          <w:b/>
          <w:sz w:val="28"/>
          <w:szCs w:val="28"/>
          <w:lang w:val="en-US" w:eastAsia="zh-CN"/>
        </w:rPr>
        <w:t xml:space="preserve">提供具有良好的商业信誉和健全的财务会计制度的证明材料 </w:t>
      </w:r>
    </w:p>
    <w:p w14:paraId="560E288A">
      <w:pPr>
        <w:pStyle w:val="4"/>
        <w:keepNext w:val="0"/>
        <w:keepLines w:val="0"/>
        <w:pageBreakBefore w:val="0"/>
        <w:numPr>
          <w:ilvl w:val="0"/>
          <w:numId w:val="0"/>
        </w:numPr>
        <w:kinsoku/>
        <w:overflowPunct/>
        <w:topLinePunct w:val="0"/>
        <w:autoSpaceDE/>
        <w:autoSpaceDN/>
        <w:bidi w:val="0"/>
        <w:adjustRightInd/>
        <w:snapToGrid/>
        <w:spacing w:line="360" w:lineRule="auto"/>
        <w:ind w:firstLine="320" w:firstLineChars="200"/>
        <w:jc w:val="left"/>
        <w:textAlignment w:val="auto"/>
        <w:outlineLvl w:val="2"/>
        <w:rPr>
          <w:rFonts w:hint="eastAsia"/>
          <w:lang w:val="en-US" w:eastAsia="zh-CN"/>
        </w:rPr>
      </w:pPr>
    </w:p>
    <w:p w14:paraId="19277147">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lang w:val="en-US" w:eastAsia="zh-CN"/>
        </w:rPr>
      </w:pPr>
    </w:p>
    <w:p w14:paraId="6BF9C1A5">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leftChars="0" w:right="0" w:rightChars="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bCs/>
          <w:sz w:val="28"/>
          <w:szCs w:val="28"/>
          <w:lang w:val="en-US" w:eastAsia="zh-CN" w:bidi="ar-SA"/>
        </w:rPr>
        <w:t>八、</w:t>
      </w:r>
      <w:r>
        <w:rPr>
          <w:rFonts w:hint="eastAsia" w:ascii="宋体" w:hAnsi="宋体" w:eastAsia="宋体" w:cs="宋体"/>
          <w:b/>
          <w:sz w:val="28"/>
          <w:szCs w:val="28"/>
          <w:lang w:val="en-US" w:eastAsia="zh-CN"/>
        </w:rPr>
        <w:t xml:space="preserve">提供依法缴纳税收和社会保障资金的良好记录 </w:t>
      </w:r>
    </w:p>
    <w:p w14:paraId="56A2DBB7">
      <w:pPr>
        <w:pStyle w:val="4"/>
        <w:keepNext w:val="0"/>
        <w:keepLines w:val="0"/>
        <w:pageBreakBefore w:val="0"/>
        <w:numPr>
          <w:ilvl w:val="0"/>
          <w:numId w:val="0"/>
        </w:numPr>
        <w:kinsoku/>
        <w:overflowPunct/>
        <w:topLinePunct w:val="0"/>
        <w:autoSpaceDE/>
        <w:autoSpaceDN/>
        <w:bidi w:val="0"/>
        <w:adjustRightInd/>
        <w:snapToGrid/>
        <w:spacing w:line="360" w:lineRule="auto"/>
        <w:ind w:firstLine="320" w:firstLineChars="200"/>
        <w:jc w:val="left"/>
        <w:textAlignment w:val="auto"/>
        <w:outlineLvl w:val="2"/>
        <w:rPr>
          <w:rFonts w:hint="eastAsia"/>
          <w:lang w:val="en-US" w:eastAsia="zh-CN"/>
        </w:rPr>
      </w:pPr>
    </w:p>
    <w:p w14:paraId="6AE35996">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lang w:val="en-US" w:eastAsia="zh-CN"/>
        </w:rPr>
      </w:pPr>
    </w:p>
    <w:p w14:paraId="419C3382">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leftChars="0" w:right="0" w:rightChars="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bCs/>
          <w:sz w:val="28"/>
          <w:szCs w:val="28"/>
          <w:lang w:val="en-US" w:eastAsia="zh-CN" w:bidi="ar-SA"/>
        </w:rPr>
        <w:t>九、</w:t>
      </w:r>
      <w:r>
        <w:rPr>
          <w:rFonts w:hint="eastAsia" w:ascii="宋体" w:hAnsi="宋体" w:eastAsia="宋体" w:cs="宋体"/>
          <w:b/>
          <w:sz w:val="28"/>
          <w:szCs w:val="28"/>
          <w:lang w:val="en-US" w:eastAsia="zh-CN"/>
        </w:rPr>
        <w:t xml:space="preserve">具有履行合同所必须的设备和专业技术能力的声明 </w:t>
      </w:r>
    </w:p>
    <w:p w14:paraId="4B40CE6D">
      <w:pPr>
        <w:pStyle w:val="4"/>
        <w:keepNext w:val="0"/>
        <w:keepLines w:val="0"/>
        <w:pageBreakBefore w:val="0"/>
        <w:numPr>
          <w:ilvl w:val="0"/>
          <w:numId w:val="0"/>
        </w:numPr>
        <w:kinsoku/>
        <w:overflowPunct/>
        <w:topLinePunct w:val="0"/>
        <w:autoSpaceDE/>
        <w:autoSpaceDN/>
        <w:bidi w:val="0"/>
        <w:adjustRightInd/>
        <w:snapToGrid/>
        <w:spacing w:line="360" w:lineRule="auto"/>
        <w:ind w:firstLine="320" w:firstLineChars="200"/>
        <w:jc w:val="left"/>
        <w:textAlignment w:val="auto"/>
        <w:outlineLvl w:val="2"/>
        <w:rPr>
          <w:rFonts w:hint="eastAsia"/>
          <w:lang w:val="en-US" w:eastAsia="zh-CN"/>
        </w:rPr>
      </w:pPr>
    </w:p>
    <w:p w14:paraId="124C746A">
      <w:pPr>
        <w:keepNext w:val="0"/>
        <w:keepLines w:val="0"/>
        <w:pageBreakBefore w:val="0"/>
        <w:widowControl w:val="0"/>
        <w:numPr>
          <w:ilvl w:val="0"/>
          <w:numId w:val="0"/>
        </w:numPr>
        <w:tabs>
          <w:tab w:val="left" w:pos="606"/>
        </w:tabs>
        <w:kinsoku/>
        <w:wordWrap w:val="0"/>
        <w:overflowPunct/>
        <w:topLinePunct w:val="0"/>
        <w:autoSpaceDE/>
        <w:autoSpaceDN/>
        <w:bidi w:val="0"/>
        <w:adjustRightInd/>
        <w:snapToGrid/>
        <w:spacing w:line="360" w:lineRule="auto"/>
        <w:ind w:left="0" w:right="0"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我公司具备履行本次投标项目合同所必须的设备和专业技术能力。 </w:t>
      </w:r>
    </w:p>
    <w:p w14:paraId="2D8A97E6">
      <w:pPr>
        <w:keepNext w:val="0"/>
        <w:keepLines w:val="0"/>
        <w:pageBreakBefore w:val="0"/>
        <w:widowControl w:val="0"/>
        <w:numPr>
          <w:ilvl w:val="0"/>
          <w:numId w:val="0"/>
        </w:numPr>
        <w:tabs>
          <w:tab w:val="left" w:pos="606"/>
        </w:tabs>
        <w:kinsoku/>
        <w:wordWrap w:val="0"/>
        <w:overflowPunct/>
        <w:topLinePunct w:val="0"/>
        <w:autoSpaceDE/>
        <w:autoSpaceDN/>
        <w:bidi w:val="0"/>
        <w:adjustRightInd/>
        <w:snapToGrid/>
        <w:spacing w:line="360" w:lineRule="auto"/>
        <w:ind w:left="0" w:right="0"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特此声明。 </w:t>
      </w:r>
    </w:p>
    <w:p w14:paraId="358CD711">
      <w:pPr>
        <w:keepNext w:val="0"/>
        <w:keepLines w:val="0"/>
        <w:pageBreakBefore w:val="0"/>
        <w:widowControl w:val="0"/>
        <w:numPr>
          <w:ilvl w:val="0"/>
          <w:numId w:val="0"/>
        </w:numPr>
        <w:tabs>
          <w:tab w:val="left" w:pos="606"/>
        </w:tabs>
        <w:kinsoku/>
        <w:wordWrap w:val="0"/>
        <w:overflowPunct/>
        <w:topLinePunct w:val="0"/>
        <w:autoSpaceDE/>
        <w:autoSpaceDN/>
        <w:bidi w:val="0"/>
        <w:adjustRightInd/>
        <w:snapToGrid/>
        <w:spacing w:line="360" w:lineRule="auto"/>
        <w:ind w:left="0" w:right="0" w:firstLine="560" w:firstLineChars="200"/>
        <w:jc w:val="left"/>
        <w:textAlignment w:val="auto"/>
        <w:rPr>
          <w:rFonts w:hint="eastAsia" w:ascii="宋体" w:hAnsi="宋体" w:eastAsia="宋体" w:cs="宋体"/>
          <w:sz w:val="28"/>
          <w:szCs w:val="28"/>
          <w:lang w:val="en-US" w:eastAsia="zh-CN"/>
        </w:rPr>
      </w:pPr>
    </w:p>
    <w:p w14:paraId="45E7F0A6">
      <w:pPr>
        <w:pageBreakBefore w:val="0"/>
        <w:numPr>
          <w:ilvl w:val="0"/>
          <w:numId w:val="0"/>
        </w:numPr>
        <w:tabs>
          <w:tab w:val="left" w:pos="606"/>
        </w:tabs>
        <w:wordWrap w:val="0"/>
        <w:autoSpaceDE/>
        <w:autoSpaceDN/>
        <w:bidi w:val="0"/>
        <w:snapToGrid/>
        <w:spacing w:line="360" w:lineRule="auto"/>
        <w:ind w:left="0" w:right="0" w:firstLine="3105" w:firstLineChars="1109"/>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投标供应商：</w:t>
      </w:r>
      <w:r>
        <w:rPr>
          <w:rFonts w:hint="eastAsia" w:ascii="宋体" w:hAnsi="宋体" w:eastAsia="宋体" w:cs="宋体"/>
          <w:b/>
          <w:bCs/>
          <w:sz w:val="24"/>
          <w:szCs w:val="24"/>
          <w:u w:val="single"/>
        </w:rPr>
        <w:t xml:space="preserve">            </w:t>
      </w:r>
      <w:r>
        <w:rPr>
          <w:rFonts w:hint="eastAsia" w:ascii="宋体" w:hAnsi="宋体" w:eastAsia="宋体" w:cs="宋体"/>
          <w:sz w:val="28"/>
          <w:szCs w:val="28"/>
          <w:lang w:val="en-US" w:eastAsia="zh-CN"/>
        </w:rPr>
        <w:t>（加盖公章）</w:t>
      </w:r>
    </w:p>
    <w:p w14:paraId="24F43E07">
      <w:pPr>
        <w:pageBreakBefore w:val="0"/>
        <w:numPr>
          <w:ilvl w:val="0"/>
          <w:numId w:val="0"/>
        </w:numPr>
        <w:tabs>
          <w:tab w:val="left" w:pos="606"/>
        </w:tabs>
        <w:wordWrap w:val="0"/>
        <w:autoSpaceDE/>
        <w:autoSpaceDN/>
        <w:bidi w:val="0"/>
        <w:snapToGrid/>
        <w:spacing w:line="360" w:lineRule="auto"/>
        <w:ind w:left="0" w:right="0" w:firstLine="3105" w:firstLineChars="1109"/>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p>
    <w:p w14:paraId="37550FCF">
      <w:pPr>
        <w:pageBreakBefore w:val="0"/>
        <w:numPr>
          <w:ilvl w:val="0"/>
          <w:numId w:val="0"/>
        </w:numPr>
        <w:tabs>
          <w:tab w:val="left" w:pos="606"/>
        </w:tabs>
        <w:wordWrap w:val="0"/>
        <w:autoSpaceDE/>
        <w:autoSpaceDN/>
        <w:bidi w:val="0"/>
        <w:snapToGrid/>
        <w:spacing w:line="360" w:lineRule="auto"/>
        <w:ind w:left="0" w:right="0" w:firstLine="4765" w:firstLineChars="1702"/>
        <w:jc w:val="left"/>
        <w:rPr>
          <w:rFonts w:hint="eastAsia" w:ascii="宋体" w:hAnsi="宋体" w:eastAsia="宋体" w:cs="宋体"/>
          <w:sz w:val="28"/>
          <w:szCs w:val="28"/>
          <w:lang w:val="en-US" w:eastAsia="zh-CN"/>
        </w:rPr>
      </w:pPr>
    </w:p>
    <w:p w14:paraId="583DCEED">
      <w:pPr>
        <w:pageBreakBefore w:val="0"/>
        <w:numPr>
          <w:ilvl w:val="0"/>
          <w:numId w:val="0"/>
        </w:numPr>
        <w:tabs>
          <w:tab w:val="left" w:pos="606"/>
        </w:tabs>
        <w:wordWrap w:val="0"/>
        <w:autoSpaceDE/>
        <w:autoSpaceDN/>
        <w:bidi w:val="0"/>
        <w:snapToGrid/>
        <w:spacing w:line="360" w:lineRule="auto"/>
        <w:ind w:left="0" w:right="0" w:firstLine="4765" w:firstLineChars="1702"/>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年   月   日</w:t>
      </w:r>
    </w:p>
    <w:p w14:paraId="7BDE487A">
      <w:pPr>
        <w:pStyle w:val="4"/>
        <w:rPr>
          <w:rFonts w:hint="eastAsia"/>
          <w:lang w:val="en-US" w:eastAsia="zh-CN"/>
        </w:rPr>
      </w:pPr>
    </w:p>
    <w:p w14:paraId="691913CE">
      <w:pPr>
        <w:keepNext w:val="0"/>
        <w:keepLines w:val="0"/>
        <w:pageBreakBefore w:val="0"/>
        <w:numPr>
          <w:ilvl w:val="0"/>
          <w:numId w:val="0"/>
        </w:numPr>
        <w:tabs>
          <w:tab w:val="left" w:pos="606"/>
        </w:tabs>
        <w:kinsoku/>
        <w:wordWrap w:val="0"/>
        <w:overflowPunct/>
        <w:topLinePunct w:val="0"/>
        <w:autoSpaceDE/>
        <w:autoSpaceDN/>
        <w:bidi w:val="0"/>
        <w:adjustRightInd/>
        <w:snapToGrid/>
        <w:spacing w:line="360" w:lineRule="auto"/>
        <w:ind w:left="0" w:leftChars="0" w:right="0" w:rightChars="0" w:firstLine="562" w:firstLineChars="200"/>
        <w:jc w:val="left"/>
        <w:textAlignment w:val="auto"/>
        <w:rPr>
          <w:rFonts w:hint="eastAsia"/>
          <w:lang w:val="en-US" w:eastAsia="zh-CN"/>
        </w:rPr>
      </w:pPr>
      <w:r>
        <w:rPr>
          <w:rFonts w:hint="eastAsia" w:ascii="宋体" w:hAnsi="宋体" w:eastAsia="宋体" w:cs="宋体"/>
          <w:b/>
          <w:bCs/>
          <w:sz w:val="28"/>
          <w:szCs w:val="28"/>
          <w:lang w:val="en-US" w:eastAsia="zh-CN" w:bidi="ar-SA"/>
        </w:rPr>
        <w:t>十、检测报告、承诺函等材料</w:t>
      </w:r>
    </w:p>
    <w:p w14:paraId="2804CEC1">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2" w:firstLineChars="200"/>
        <w:jc w:val="left"/>
        <w:textAlignment w:val="auto"/>
        <w:rPr>
          <w:rFonts w:hint="default" w:ascii="宋体" w:hAnsi="宋体" w:eastAsia="宋体" w:cs="宋体"/>
          <w:b/>
          <w:bCs/>
          <w:sz w:val="28"/>
          <w:szCs w:val="28"/>
          <w:lang w:val="en-US" w:eastAsia="zh-CN"/>
        </w:rPr>
      </w:pPr>
      <w:r>
        <w:rPr>
          <w:rFonts w:hint="eastAsia" w:ascii="宋体" w:hAnsi="宋体" w:eastAsia="宋体" w:cs="宋体"/>
          <w:b/>
          <w:sz w:val="28"/>
          <w:szCs w:val="28"/>
          <w:lang w:val="en-US" w:eastAsia="zh-CN"/>
        </w:rPr>
        <w:t>十一、</w:t>
      </w:r>
      <w:r>
        <w:rPr>
          <w:rFonts w:hint="eastAsia" w:ascii="宋体" w:hAnsi="宋体" w:eastAsia="宋体" w:cs="宋体"/>
          <w:b/>
          <w:bCs/>
          <w:sz w:val="28"/>
          <w:szCs w:val="28"/>
          <w:lang w:val="en-US" w:eastAsia="zh-CN"/>
        </w:rPr>
        <w:t>参加</w:t>
      </w:r>
      <w:r>
        <w:rPr>
          <w:rFonts w:hint="eastAsia" w:ascii="宋体" w:hAnsi="宋体" w:eastAsia="宋体" w:cs="宋体"/>
          <w:b/>
          <w:bCs/>
          <w:sz w:val="28"/>
          <w:szCs w:val="28"/>
          <w:highlight w:val="none"/>
          <w:lang w:val="en-US" w:eastAsia="zh-CN"/>
        </w:rPr>
        <w:t>本次采购</w:t>
      </w:r>
      <w:r>
        <w:rPr>
          <w:rFonts w:hint="eastAsia" w:ascii="宋体" w:hAnsi="宋体" w:eastAsia="宋体" w:cs="宋体"/>
          <w:b/>
          <w:bCs/>
          <w:sz w:val="28"/>
          <w:szCs w:val="28"/>
          <w:lang w:val="en-US" w:eastAsia="zh-CN"/>
        </w:rPr>
        <w:t>前三年内在经营活动中无重大违法记录书面声明(后附信用记录截图）</w:t>
      </w:r>
    </w:p>
    <w:p w14:paraId="1E2D65B6">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2" w:firstLineChars="200"/>
        <w:jc w:val="left"/>
        <w:textAlignment w:val="auto"/>
        <w:rPr>
          <w:rFonts w:hint="eastAsia" w:ascii="宋体" w:hAnsi="宋体" w:eastAsia="宋体" w:cs="宋体"/>
          <w:b/>
          <w:bCs/>
          <w:sz w:val="28"/>
          <w:szCs w:val="28"/>
          <w:lang w:val="en-US" w:eastAsia="zh-CN"/>
        </w:rPr>
      </w:pPr>
    </w:p>
    <w:p w14:paraId="443F14D7">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2" w:firstLineChars="200"/>
        <w:jc w:val="left"/>
        <w:textAlignment w:val="auto"/>
        <w:rPr>
          <w:rFonts w:hint="eastAsia" w:ascii="宋体" w:hAnsi="宋体" w:eastAsia="宋体" w:cs="宋体"/>
          <w:b/>
          <w:bCs/>
          <w:sz w:val="28"/>
          <w:szCs w:val="28"/>
          <w:lang w:val="en-US" w:eastAsia="zh-CN"/>
        </w:rPr>
      </w:pPr>
    </w:p>
    <w:p w14:paraId="10E4E5CB">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center"/>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参加本次采购前三年内在经营活动中无重大违法记录</w:t>
      </w:r>
    </w:p>
    <w:p w14:paraId="670AD94C">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center"/>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书面声明函</w:t>
      </w:r>
    </w:p>
    <w:p w14:paraId="6D26901B">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center"/>
        <w:textAlignment w:val="auto"/>
        <w:rPr>
          <w:rFonts w:hint="eastAsia" w:ascii="宋体" w:hAnsi="宋体" w:eastAsia="宋体" w:cs="宋体"/>
          <w:b w:val="0"/>
          <w:bCs w:val="0"/>
          <w:sz w:val="28"/>
          <w:szCs w:val="28"/>
          <w:lang w:val="en-US" w:eastAsia="zh-CN"/>
        </w:rPr>
      </w:pPr>
    </w:p>
    <w:p w14:paraId="6758FE99">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致：</w:t>
      </w:r>
      <w:r>
        <w:rPr>
          <w:rFonts w:hint="eastAsia" w:ascii="宋体" w:hAnsi="宋体" w:eastAsia="宋体" w:cs="宋体"/>
          <w:b w:val="0"/>
          <w:bCs w:val="0"/>
          <w:sz w:val="28"/>
          <w:szCs w:val="28"/>
          <w:u w:val="none"/>
          <w:lang w:val="en-US" w:eastAsia="zh-CN"/>
        </w:rPr>
        <w:t>鄂尔多斯市中心医院</w:t>
      </w:r>
    </w:p>
    <w:p w14:paraId="496025BE">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 我单位</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val="0"/>
          <w:bCs w:val="0"/>
          <w:sz w:val="28"/>
          <w:szCs w:val="28"/>
          <w:u w:val="single"/>
          <w:lang w:eastAsia="zh-CN"/>
        </w:rPr>
        <w:t>（</w:t>
      </w:r>
      <w:r>
        <w:rPr>
          <w:rFonts w:hint="eastAsia" w:ascii="宋体" w:hAnsi="宋体" w:eastAsia="宋体" w:cs="宋体"/>
          <w:b w:val="0"/>
          <w:bCs w:val="0"/>
          <w:sz w:val="28"/>
          <w:szCs w:val="28"/>
          <w:lang w:val="en-US" w:eastAsia="zh-CN"/>
        </w:rPr>
        <w:t>投标供应商名称）近三年内，在经营活动中无重大违法记录，特此声明。</w:t>
      </w:r>
    </w:p>
    <w:p w14:paraId="5E750A70">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若招标采购单位在本项目采购过程中发现我单位近三年内在经营活动中有重大违法记录，我单位将无条件地退出本项目的招标，并承担因此引起的一切后果。</w:t>
      </w:r>
    </w:p>
    <w:p w14:paraId="796E2103">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p>
    <w:p w14:paraId="0AF83DB2">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8"/>
          <w:szCs w:val="28"/>
          <w:lang w:val="en-US" w:eastAsia="zh-CN"/>
        </w:rPr>
      </w:pPr>
    </w:p>
    <w:p w14:paraId="762B96AA">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8"/>
          <w:szCs w:val="28"/>
          <w:lang w:val="en-US" w:eastAsia="zh-CN"/>
        </w:rPr>
      </w:pPr>
    </w:p>
    <w:p w14:paraId="59AB7160">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                    投标供应商(加盖公章）：</w:t>
      </w:r>
      <w:r>
        <w:rPr>
          <w:rFonts w:hint="eastAsia" w:ascii="宋体" w:hAnsi="宋体" w:eastAsia="宋体" w:cs="宋体"/>
          <w:b/>
          <w:bCs/>
          <w:sz w:val="24"/>
          <w:szCs w:val="24"/>
          <w:u w:val="single"/>
        </w:rPr>
        <w:t xml:space="preserve">            </w:t>
      </w:r>
    </w:p>
    <w:p w14:paraId="35AF1F9D">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p>
    <w:p w14:paraId="5EFE9DF4">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                    法定代表人（印章或签字）：</w:t>
      </w:r>
      <w:r>
        <w:rPr>
          <w:rFonts w:hint="eastAsia" w:ascii="宋体" w:hAnsi="宋体" w:eastAsia="宋体" w:cs="宋体"/>
          <w:b/>
          <w:bCs/>
          <w:sz w:val="24"/>
          <w:szCs w:val="24"/>
          <w:u w:val="single"/>
        </w:rPr>
        <w:t xml:space="preserve">            </w:t>
      </w:r>
    </w:p>
    <w:p w14:paraId="61CE9763">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highlight w:val="red"/>
          <w:lang w:val="en-US" w:eastAsia="zh-CN"/>
        </w:rPr>
      </w:pPr>
    </w:p>
    <w:p w14:paraId="136CAF08">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2"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bCs/>
          <w:sz w:val="28"/>
          <w:szCs w:val="28"/>
          <w:lang w:val="en-US" w:eastAsia="zh-CN"/>
        </w:rPr>
        <w:t xml:space="preserve">                         </w:t>
      </w:r>
      <w:r>
        <w:rPr>
          <w:rFonts w:hint="eastAsia" w:ascii="宋体" w:hAnsi="宋体" w:eastAsia="宋体" w:cs="宋体"/>
          <w:b w:val="0"/>
          <w:bCs w:val="0"/>
          <w:sz w:val="28"/>
          <w:szCs w:val="28"/>
          <w:lang w:val="en-US" w:eastAsia="zh-CN"/>
        </w:rPr>
        <w:t xml:space="preserve"> 日  期：＿＿年＿＿月＿＿日</w:t>
      </w:r>
    </w:p>
    <w:p w14:paraId="7101FB0C">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r>
        <w:rPr>
          <w:rFonts w:hint="eastAsia" w:ascii="宋体" w:hAnsi="宋体" w:eastAsia="宋体" w:cs="宋体"/>
          <w:b/>
          <w:sz w:val="28"/>
          <w:szCs w:val="28"/>
          <w:lang w:val="en-US" w:eastAsia="zh-CN"/>
        </w:rPr>
        <w:t xml:space="preserve"> </w:t>
      </w:r>
    </w:p>
    <w:p w14:paraId="103C073D">
      <w:pPr>
        <w:keepNext w:val="0"/>
        <w:keepLines w:val="0"/>
        <w:pageBreakBefore w:val="0"/>
        <w:widowControl/>
        <w:numPr>
          <w:ilvl w:val="0"/>
          <w:numId w:val="0"/>
        </w:numPr>
        <w:tabs>
          <w:tab w:val="left" w:pos="606"/>
        </w:tabs>
        <w:kinsoku/>
        <w:wordWrap w:val="0"/>
        <w:overflowPunct/>
        <w:topLinePunct w:val="0"/>
        <w:autoSpaceDE/>
        <w:autoSpaceDN/>
        <w:bidi w:val="0"/>
        <w:adjustRightInd/>
        <w:snapToGrid/>
        <w:spacing w:line="360" w:lineRule="auto"/>
        <w:ind w:left="0" w:right="0" w:firstLine="562" w:firstLineChars="200"/>
        <w:jc w:val="left"/>
        <w:textAlignment w:val="auto"/>
        <w:rPr>
          <w:rFonts w:hint="eastAsia" w:ascii="宋体" w:hAnsi="宋体" w:eastAsia="宋体" w:cs="宋体"/>
          <w:b/>
          <w:i w:val="0"/>
          <w:sz w:val="28"/>
          <w:szCs w:val="28"/>
          <w:lang w:val="en-US" w:eastAsia="zh-CN"/>
        </w:rPr>
      </w:pPr>
      <w:r>
        <w:rPr>
          <w:rFonts w:hint="eastAsia" w:ascii="宋体" w:hAnsi="宋体" w:eastAsia="宋体" w:cs="宋体"/>
          <w:b/>
          <w:i w:val="0"/>
          <w:sz w:val="28"/>
          <w:szCs w:val="28"/>
          <w:lang w:val="en-US" w:eastAsia="zh-CN"/>
        </w:rPr>
        <w:t xml:space="preserve">十二、主要商务要求承诺书 </w:t>
      </w:r>
    </w:p>
    <w:p w14:paraId="36A9557E">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我公司承诺可以完全满足本次采购项目的所有主要商务条款要求（如标的提供的时间、标的提供的地点、投标有效期、 采购资金支付、验收要求、履约保证金等）。若有不符合或未按承诺履行的，后果和责任自负。 </w:t>
      </w:r>
    </w:p>
    <w:p w14:paraId="7B725F50">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如有优于招采文件主要商务要求的请在此承诺书中说明。具体优于内容（如标的提供的时间、地点，质保期等）。 </w:t>
      </w:r>
    </w:p>
    <w:p w14:paraId="2F1BF024">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特此承诺。 </w:t>
      </w:r>
    </w:p>
    <w:p w14:paraId="4B8A4108">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8"/>
          <w:szCs w:val="28"/>
          <w:lang w:val="en-US" w:eastAsia="zh-CN"/>
        </w:rPr>
      </w:pPr>
    </w:p>
    <w:p w14:paraId="193FC21A">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8"/>
          <w:szCs w:val="28"/>
          <w:lang w:val="en-US" w:eastAsia="zh-CN"/>
        </w:rPr>
      </w:pPr>
    </w:p>
    <w:p w14:paraId="1F50DDB0">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3080" w:firstLineChars="11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投标供应商：</w:t>
      </w:r>
      <w:r>
        <w:rPr>
          <w:rFonts w:hint="eastAsia" w:ascii="宋体" w:hAnsi="宋体" w:eastAsia="宋体"/>
          <w:sz w:val="28"/>
          <w:szCs w:val="28"/>
          <w:u w:val="single"/>
          <w:lang w:val="en-US" w:eastAsia="zh-CN"/>
        </w:rPr>
        <w:t xml:space="preserve">             </w:t>
      </w:r>
      <w:r>
        <w:rPr>
          <w:rFonts w:hint="eastAsia" w:ascii="宋体" w:hAnsi="宋体" w:eastAsia="宋体" w:cs="宋体"/>
          <w:sz w:val="28"/>
          <w:szCs w:val="28"/>
          <w:lang w:val="en-US" w:eastAsia="zh-CN"/>
        </w:rPr>
        <w:t xml:space="preserve">（加盖公章） </w:t>
      </w:r>
    </w:p>
    <w:p w14:paraId="68A8F599">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4760" w:firstLineChars="1700"/>
        <w:jc w:val="left"/>
        <w:textAlignment w:val="auto"/>
        <w:rPr>
          <w:rFonts w:hint="eastAsia" w:ascii="宋体" w:hAnsi="宋体" w:eastAsia="宋体" w:cs="宋体"/>
          <w:sz w:val="28"/>
          <w:szCs w:val="28"/>
          <w:lang w:val="en-US" w:eastAsia="zh-CN"/>
        </w:rPr>
      </w:pPr>
    </w:p>
    <w:p w14:paraId="5C2C4FEC">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4760" w:firstLineChars="1700"/>
        <w:jc w:val="left"/>
        <w:textAlignment w:val="auto"/>
        <w:rPr>
          <w:rFonts w:hint="eastAsia" w:ascii="宋体" w:hAnsi="宋体" w:eastAsia="宋体" w:cs="宋体"/>
          <w:sz w:val="28"/>
          <w:szCs w:val="28"/>
          <w:lang w:val="en-US" w:eastAsia="zh-CN"/>
        </w:rPr>
      </w:pPr>
    </w:p>
    <w:p w14:paraId="43C5A841">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5320" w:firstLineChars="19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年    月    日 </w:t>
      </w:r>
    </w:p>
    <w:p w14:paraId="4333D536">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p w14:paraId="45672975">
      <w:pPr>
        <w:pStyle w:val="4"/>
        <w:rPr>
          <w:rFonts w:hint="eastAsia" w:ascii="宋体" w:hAnsi="宋体" w:eastAsia="宋体" w:cs="宋体"/>
          <w:sz w:val="24"/>
          <w:szCs w:val="24"/>
          <w:lang w:val="en-US" w:eastAsia="zh-CN"/>
        </w:rPr>
      </w:pPr>
    </w:p>
    <w:p w14:paraId="6D3B2CE6">
      <w:pPr>
        <w:rPr>
          <w:rFonts w:hint="eastAsia" w:ascii="宋体" w:hAnsi="宋体" w:eastAsia="宋体" w:cs="宋体"/>
          <w:sz w:val="24"/>
          <w:szCs w:val="24"/>
          <w:lang w:val="en-US" w:eastAsia="zh-CN"/>
        </w:rPr>
      </w:pPr>
    </w:p>
    <w:p w14:paraId="53F49547">
      <w:pPr>
        <w:pStyle w:val="4"/>
        <w:rPr>
          <w:rFonts w:hint="eastAsia" w:ascii="宋体" w:hAnsi="宋体" w:eastAsia="宋体" w:cs="宋体"/>
          <w:sz w:val="24"/>
          <w:szCs w:val="24"/>
          <w:lang w:val="en-US" w:eastAsia="zh-CN"/>
        </w:rPr>
      </w:pPr>
    </w:p>
    <w:p w14:paraId="71383849">
      <w:pPr>
        <w:rPr>
          <w:rFonts w:hint="eastAsia" w:ascii="宋体" w:hAnsi="宋体" w:eastAsia="宋体" w:cs="宋体"/>
          <w:sz w:val="24"/>
          <w:szCs w:val="24"/>
          <w:lang w:val="en-US" w:eastAsia="zh-CN"/>
        </w:rPr>
      </w:pPr>
    </w:p>
    <w:p w14:paraId="40C1A81B">
      <w:pPr>
        <w:pStyle w:val="4"/>
        <w:rPr>
          <w:rFonts w:hint="eastAsia" w:ascii="宋体" w:hAnsi="宋体" w:eastAsia="宋体" w:cs="宋体"/>
          <w:sz w:val="24"/>
          <w:szCs w:val="24"/>
          <w:lang w:val="en-US" w:eastAsia="zh-CN"/>
        </w:rPr>
      </w:pPr>
    </w:p>
    <w:p w14:paraId="699051A2">
      <w:pPr>
        <w:rPr>
          <w:rFonts w:hint="eastAsia" w:ascii="宋体" w:hAnsi="宋体" w:eastAsia="宋体" w:cs="宋体"/>
          <w:sz w:val="24"/>
          <w:szCs w:val="24"/>
          <w:lang w:val="en-US" w:eastAsia="zh-CN"/>
        </w:rPr>
      </w:pPr>
    </w:p>
    <w:p w14:paraId="1336A345">
      <w:pPr>
        <w:pStyle w:val="4"/>
        <w:rPr>
          <w:rFonts w:hint="eastAsia" w:ascii="宋体" w:hAnsi="宋体" w:eastAsia="宋体" w:cs="宋体"/>
          <w:sz w:val="24"/>
          <w:szCs w:val="24"/>
          <w:lang w:val="en-US" w:eastAsia="zh-CN"/>
        </w:rPr>
      </w:pPr>
    </w:p>
    <w:p w14:paraId="5CAA1BB8">
      <w:pPr>
        <w:rPr>
          <w:rFonts w:hint="eastAsia" w:ascii="宋体" w:hAnsi="宋体" w:eastAsia="宋体" w:cs="宋体"/>
          <w:sz w:val="24"/>
          <w:szCs w:val="24"/>
          <w:lang w:val="en-US" w:eastAsia="zh-CN"/>
        </w:rPr>
      </w:pPr>
    </w:p>
    <w:p w14:paraId="04FEADAF">
      <w:pPr>
        <w:pStyle w:val="4"/>
        <w:rPr>
          <w:rFonts w:hint="eastAsia" w:ascii="宋体" w:hAnsi="宋体" w:eastAsia="宋体" w:cs="宋体"/>
          <w:sz w:val="24"/>
          <w:szCs w:val="24"/>
          <w:lang w:val="en-US" w:eastAsia="zh-CN"/>
        </w:rPr>
      </w:pPr>
    </w:p>
    <w:p w14:paraId="5063DD1C">
      <w:pPr>
        <w:rPr>
          <w:rFonts w:hint="eastAsia" w:ascii="宋体" w:hAnsi="宋体" w:eastAsia="宋体" w:cs="宋体"/>
          <w:sz w:val="24"/>
          <w:szCs w:val="24"/>
          <w:lang w:val="en-US" w:eastAsia="zh-CN"/>
        </w:rPr>
      </w:pPr>
    </w:p>
    <w:p w14:paraId="6FD08BAE">
      <w:pPr>
        <w:pStyle w:val="4"/>
        <w:rPr>
          <w:rFonts w:hint="eastAsia" w:ascii="宋体" w:hAnsi="宋体" w:eastAsia="宋体" w:cs="宋体"/>
          <w:sz w:val="24"/>
          <w:szCs w:val="24"/>
          <w:lang w:val="en-US" w:eastAsia="zh-CN"/>
        </w:rPr>
      </w:pPr>
    </w:p>
    <w:p w14:paraId="3E1256D4">
      <w:pPr>
        <w:rPr>
          <w:rFonts w:hint="eastAsia" w:ascii="宋体" w:hAnsi="宋体" w:eastAsia="宋体" w:cs="宋体"/>
          <w:sz w:val="24"/>
          <w:szCs w:val="24"/>
          <w:lang w:val="en-US" w:eastAsia="zh-CN"/>
        </w:rPr>
      </w:pPr>
    </w:p>
    <w:p w14:paraId="040F6CB5">
      <w:pPr>
        <w:pStyle w:val="4"/>
        <w:rPr>
          <w:rFonts w:hint="eastAsia" w:ascii="宋体" w:hAnsi="宋体" w:eastAsia="宋体" w:cs="宋体"/>
          <w:sz w:val="24"/>
          <w:szCs w:val="24"/>
          <w:lang w:val="en-US" w:eastAsia="zh-CN"/>
        </w:rPr>
      </w:pPr>
    </w:p>
    <w:p w14:paraId="00C5D367">
      <w:pPr>
        <w:rPr>
          <w:rFonts w:hint="eastAsia"/>
          <w:lang w:val="en-US" w:eastAsia="zh-CN"/>
        </w:rPr>
      </w:pPr>
    </w:p>
    <w:p w14:paraId="7A4361EB">
      <w:pPr>
        <w:keepNext w:val="0"/>
        <w:keepLines w:val="0"/>
        <w:pageBreakBefore w:val="0"/>
        <w:widowControl/>
        <w:numPr>
          <w:ilvl w:val="0"/>
          <w:numId w:val="0"/>
        </w:numPr>
        <w:tabs>
          <w:tab w:val="left" w:pos="606"/>
        </w:tabs>
        <w:kinsoku/>
        <w:wordWrap w:val="0"/>
        <w:overflowPunct/>
        <w:topLinePunct w:val="0"/>
        <w:autoSpaceDE/>
        <w:autoSpaceDN/>
        <w:bidi w:val="0"/>
        <w:adjustRightInd/>
        <w:snapToGrid/>
        <w:spacing w:line="360" w:lineRule="auto"/>
        <w:ind w:left="0" w:right="0" w:firstLine="562" w:firstLineChars="200"/>
        <w:jc w:val="left"/>
        <w:textAlignment w:val="auto"/>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十三、技术参数偏离表 （包括各项佐证材料）</w:t>
      </w:r>
    </w:p>
    <w:tbl>
      <w:tblPr>
        <w:tblStyle w:val="1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20"/>
        <w:gridCol w:w="1420"/>
        <w:gridCol w:w="1420"/>
        <w:gridCol w:w="1420"/>
        <w:gridCol w:w="1421"/>
        <w:gridCol w:w="1421"/>
      </w:tblGrid>
      <w:tr w14:paraId="7224E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top"/>
          </w:tcPr>
          <w:p w14:paraId="58A4CD38">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序号</w:t>
            </w:r>
          </w:p>
        </w:tc>
        <w:tc>
          <w:tcPr>
            <w:tcW w:w="1420" w:type="dxa"/>
            <w:vAlign w:val="top"/>
          </w:tcPr>
          <w:p w14:paraId="10A7564F">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参数性质（是否标</w:t>
            </w:r>
            <w:r>
              <w:rPr>
                <w:rFonts w:hint="eastAsia" w:ascii="宋体" w:hAnsi="宋体" w:eastAsia="宋体" w:cs="宋体"/>
                <w:sz w:val="21"/>
                <w:szCs w:val="21"/>
                <w:lang w:val="en-US" w:eastAsia="zh-CN" w:bidi="lo-LA"/>
              </w:rPr>
              <w:t>★</w:t>
            </w:r>
            <w:r>
              <w:rPr>
                <w:rFonts w:hint="eastAsia" w:ascii="宋体" w:hAnsi="宋体" w:eastAsia="宋体" w:cs="宋体"/>
                <w:sz w:val="24"/>
                <w:szCs w:val="24"/>
                <w:lang w:val="en-US" w:eastAsia="zh-CN"/>
              </w:rPr>
              <w:t>）</w:t>
            </w:r>
          </w:p>
        </w:tc>
        <w:tc>
          <w:tcPr>
            <w:tcW w:w="1420" w:type="dxa"/>
            <w:vAlign w:val="top"/>
          </w:tcPr>
          <w:p w14:paraId="004931BB">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招采技术参数与要求</w:t>
            </w:r>
          </w:p>
        </w:tc>
        <w:tc>
          <w:tcPr>
            <w:tcW w:w="1420" w:type="dxa"/>
            <w:vAlign w:val="top"/>
          </w:tcPr>
          <w:p w14:paraId="2379B063">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投标人提供响应内容</w:t>
            </w:r>
          </w:p>
        </w:tc>
        <w:tc>
          <w:tcPr>
            <w:tcW w:w="1421" w:type="dxa"/>
            <w:vAlign w:val="top"/>
          </w:tcPr>
          <w:p w14:paraId="631B77F3">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偏离程度</w:t>
            </w:r>
          </w:p>
        </w:tc>
        <w:tc>
          <w:tcPr>
            <w:tcW w:w="1421" w:type="dxa"/>
            <w:vAlign w:val="top"/>
          </w:tcPr>
          <w:p w14:paraId="77366B04">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备注</w:t>
            </w:r>
          </w:p>
        </w:tc>
      </w:tr>
      <w:tr w14:paraId="6C2C6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top"/>
          </w:tcPr>
          <w:p w14:paraId="3242C063">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420" w:type="dxa"/>
            <w:vAlign w:val="top"/>
          </w:tcPr>
          <w:p w14:paraId="131C4DC5">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2EA4D872">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6BFE68F2">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399AE6FF">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05ADEEB3">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r>
      <w:tr w14:paraId="55EB0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top"/>
          </w:tcPr>
          <w:p w14:paraId="77761FBA">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420" w:type="dxa"/>
            <w:vAlign w:val="top"/>
          </w:tcPr>
          <w:p w14:paraId="110BD226">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7A587625">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14F95D9B">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6F923BC3">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0BDF83A0">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r>
      <w:tr w14:paraId="0954E6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top"/>
          </w:tcPr>
          <w:p w14:paraId="16384A31">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1420" w:type="dxa"/>
            <w:vAlign w:val="top"/>
          </w:tcPr>
          <w:p w14:paraId="3F26C75F">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7EC17237">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491573CD">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1F1168CA">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5D48BC2D">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r>
      <w:tr w14:paraId="1EAEC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0" w:type="dxa"/>
            <w:vAlign w:val="top"/>
          </w:tcPr>
          <w:p w14:paraId="56555509">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w:t>
            </w:r>
          </w:p>
        </w:tc>
        <w:tc>
          <w:tcPr>
            <w:tcW w:w="1420" w:type="dxa"/>
            <w:vAlign w:val="top"/>
          </w:tcPr>
          <w:p w14:paraId="6A60E549">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59A8D1D3">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0" w:type="dxa"/>
            <w:vAlign w:val="top"/>
          </w:tcPr>
          <w:p w14:paraId="31F27A49">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0BFCF26C">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c>
          <w:tcPr>
            <w:tcW w:w="1421" w:type="dxa"/>
            <w:vAlign w:val="top"/>
          </w:tcPr>
          <w:p w14:paraId="22A6FF01">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sz w:val="24"/>
                <w:szCs w:val="24"/>
                <w:lang w:val="en-US" w:eastAsia="zh-CN"/>
              </w:rPr>
            </w:pPr>
          </w:p>
        </w:tc>
      </w:tr>
    </w:tbl>
    <w:p w14:paraId="43B3A3F4">
      <w:pPr>
        <w:keepNext w:val="0"/>
        <w:keepLines w:val="0"/>
        <w:pageBreakBefore w:val="0"/>
        <w:widowControl/>
        <w:kinsoku/>
        <w:wordWrap w:val="0"/>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000000"/>
          <w:sz w:val="24"/>
          <w:szCs w:val="24"/>
          <w:lang w:val="en-US" w:eastAsia="zh-CN" w:bidi="zh-CN"/>
        </w:rPr>
      </w:pPr>
      <w:r>
        <w:rPr>
          <w:rFonts w:hint="eastAsia" w:ascii="宋体" w:hAnsi="宋体" w:eastAsia="宋体" w:cs="宋体"/>
          <w:b/>
          <w:bCs/>
          <w:color w:val="000000"/>
          <w:sz w:val="24"/>
          <w:szCs w:val="24"/>
          <w:lang w:val="en-US" w:eastAsia="zh-CN" w:bidi="zh-CN"/>
        </w:rPr>
        <w:t>说明：</w:t>
      </w:r>
    </w:p>
    <w:p w14:paraId="3555EB0D">
      <w:pPr>
        <w:keepNext w:val="0"/>
        <w:keepLines w:val="0"/>
        <w:pageBreakBefore w:val="0"/>
        <w:widowControl/>
        <w:kinsoku/>
        <w:wordWrap w:val="0"/>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color w:val="000000"/>
          <w:sz w:val="24"/>
          <w:szCs w:val="24"/>
          <w:lang w:val="en-US" w:eastAsia="zh-CN" w:bidi="zh-CN"/>
        </w:rPr>
        <w:t xml:space="preserve">1.投标人应当如实填写上表“投标人提供响应内容”处内容，对招采文件提出的要求和条件作出明确响应，并列明具体响应数值或内容，只注明符合、满足等无具体内容表述的，将视为未实质性满足招采文件要求。 </w:t>
      </w:r>
    </w:p>
    <w:p w14:paraId="03ACF1FC">
      <w:pPr>
        <w:keepNext w:val="0"/>
        <w:keepLines w:val="0"/>
        <w:pageBreakBefore w:val="0"/>
        <w:widowControl/>
        <w:kinsoku/>
        <w:wordWrap w:val="0"/>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color w:val="000000"/>
          <w:sz w:val="24"/>
          <w:szCs w:val="24"/>
          <w:lang w:val="en-US" w:eastAsia="zh-CN" w:bidi="zh-CN"/>
        </w:rPr>
        <w:t xml:space="preserve">2.“偏离程度”处可填写满足、响应或正偏离、负偏离。 </w:t>
      </w:r>
    </w:p>
    <w:p w14:paraId="20AA8E4E">
      <w:pPr>
        <w:keepNext w:val="0"/>
        <w:keepLines w:val="0"/>
        <w:pageBreakBefore w:val="0"/>
        <w:widowControl/>
        <w:kinsoku/>
        <w:wordWrap w:val="0"/>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000000"/>
          <w:sz w:val="24"/>
          <w:szCs w:val="24"/>
          <w:lang w:val="en-US" w:eastAsia="zh-CN" w:bidi="zh-CN"/>
        </w:rPr>
      </w:pPr>
      <w:r>
        <w:rPr>
          <w:rFonts w:hint="eastAsia" w:ascii="宋体" w:hAnsi="宋体" w:eastAsia="宋体" w:cs="宋体"/>
          <w:b/>
          <w:bCs/>
          <w:color w:val="000000"/>
          <w:sz w:val="24"/>
          <w:szCs w:val="24"/>
          <w:lang w:val="en-US" w:eastAsia="zh-CN" w:bidi="zh-CN"/>
        </w:rPr>
        <w:t xml:space="preserve">3.“备注”处可填写偏离情况的具体说明。 </w:t>
      </w:r>
    </w:p>
    <w:p w14:paraId="71A38608">
      <w:pPr>
        <w:keepNext w:val="0"/>
        <w:keepLines w:val="0"/>
        <w:pageBreakBefore w:val="0"/>
        <w:widowControl/>
        <w:kinsoku/>
        <w:wordWrap w:val="0"/>
        <w:overflowPunct/>
        <w:topLinePunct w:val="0"/>
        <w:autoSpaceDE/>
        <w:autoSpaceDN/>
        <w:bidi w:val="0"/>
        <w:adjustRightInd/>
        <w:snapToGrid/>
        <w:spacing w:line="360" w:lineRule="auto"/>
        <w:ind w:firstLine="482" w:firstLineChars="200"/>
        <w:jc w:val="left"/>
        <w:textAlignment w:val="auto"/>
        <w:rPr>
          <w:rFonts w:hint="default" w:ascii="宋体" w:hAnsi="宋体" w:eastAsia="宋体" w:cs="宋体"/>
          <w:b/>
          <w:bCs/>
          <w:color w:val="000000"/>
          <w:sz w:val="24"/>
          <w:szCs w:val="24"/>
          <w:lang w:val="en-US" w:eastAsia="zh-CN" w:bidi="zh-CN"/>
        </w:rPr>
      </w:pPr>
      <w:r>
        <w:rPr>
          <w:rFonts w:hint="eastAsia" w:ascii="宋体" w:hAnsi="宋体" w:eastAsia="宋体" w:cs="宋体"/>
          <w:b/>
          <w:bCs/>
          <w:color w:val="000000"/>
          <w:sz w:val="24"/>
          <w:szCs w:val="24"/>
          <w:lang w:val="en-US" w:eastAsia="zh-CN" w:bidi="zh-CN"/>
        </w:rPr>
        <w:t>4.若技术参数（非标★项）的响应内容或证明材料与招标文件参数要求不符，按负偏离处理。</w:t>
      </w:r>
    </w:p>
    <w:p w14:paraId="6DD8DBE1">
      <w:pPr>
        <w:pStyle w:val="4"/>
        <w:rPr>
          <w:rFonts w:hint="eastAsia"/>
        </w:rPr>
      </w:pPr>
    </w:p>
    <w:p w14:paraId="146715B0">
      <w:pPr>
        <w:keepNext w:val="0"/>
        <w:keepLines w:val="0"/>
        <w:pageBreakBefore w:val="0"/>
        <w:widowControl/>
        <w:numPr>
          <w:ilvl w:val="0"/>
          <w:numId w:val="6"/>
        </w:numPr>
        <w:tabs>
          <w:tab w:val="left" w:pos="606"/>
        </w:tabs>
        <w:kinsoku/>
        <w:wordWrap w:val="0"/>
        <w:overflowPunct/>
        <w:topLinePunct w:val="0"/>
        <w:autoSpaceDE/>
        <w:autoSpaceDN/>
        <w:bidi w:val="0"/>
        <w:adjustRightInd/>
        <w:snapToGrid/>
        <w:spacing w:line="360" w:lineRule="auto"/>
        <w:ind w:left="0" w:right="0" w:firstLine="562" w:firstLineChars="200"/>
        <w:jc w:val="left"/>
        <w:textAlignment w:val="auto"/>
        <w:rPr>
          <w:rFonts w:hint="default" w:ascii="宋体" w:hAnsi="宋体" w:eastAsia="宋体" w:cs="宋体"/>
          <w:b/>
          <w:sz w:val="28"/>
          <w:szCs w:val="28"/>
          <w:lang w:val="en-US" w:eastAsia="zh-CN"/>
        </w:rPr>
      </w:pPr>
      <w:r>
        <w:rPr>
          <w:rFonts w:hint="eastAsia" w:ascii="宋体" w:hAnsi="宋体" w:eastAsia="宋体" w:cs="宋体"/>
          <w:b/>
          <w:sz w:val="28"/>
          <w:szCs w:val="28"/>
          <w:lang w:val="en-US" w:eastAsia="zh-CN"/>
        </w:rPr>
        <w:t>售后服务</w:t>
      </w:r>
    </w:p>
    <w:p w14:paraId="6057A8B0">
      <w:pPr>
        <w:keepNext w:val="0"/>
        <w:keepLines w:val="0"/>
        <w:pageBreakBefore w:val="0"/>
        <w:widowControl/>
        <w:numPr>
          <w:ilvl w:val="0"/>
          <w:numId w:val="0"/>
        </w:numPr>
        <w:tabs>
          <w:tab w:val="left" w:pos="606"/>
        </w:tabs>
        <w:kinsoku/>
        <w:wordWrap w:val="0"/>
        <w:overflowPunct/>
        <w:topLinePunct w:val="0"/>
        <w:autoSpaceDE/>
        <w:autoSpaceDN/>
        <w:bidi w:val="0"/>
        <w:adjustRightInd/>
        <w:snapToGrid/>
        <w:spacing w:line="360" w:lineRule="auto"/>
        <w:ind w:left="0" w:right="0" w:firstLine="562" w:firstLineChars="200"/>
        <w:jc w:val="left"/>
        <w:textAlignment w:val="auto"/>
        <w:rPr>
          <w:rFonts w:hint="eastAsia" w:ascii="宋体" w:hAnsi="宋体" w:eastAsia="宋体" w:cs="宋体"/>
          <w:b/>
          <w:sz w:val="24"/>
          <w:szCs w:val="24"/>
          <w:lang w:val="en-US" w:eastAsia="zh-CN"/>
        </w:rPr>
      </w:pPr>
      <w:r>
        <w:rPr>
          <w:rFonts w:hint="eastAsia" w:ascii="宋体" w:hAnsi="宋体" w:eastAsia="宋体" w:cs="宋体"/>
          <w:b/>
          <w:sz w:val="28"/>
          <w:szCs w:val="28"/>
          <w:lang w:val="en-US" w:eastAsia="zh-CN"/>
        </w:rPr>
        <w:t>十五、其它</w:t>
      </w:r>
    </w:p>
    <w:p w14:paraId="0799BF35">
      <w:pPr>
        <w:keepNext w:val="0"/>
        <w:keepLines w:val="0"/>
        <w:pageBreakBefore w:val="0"/>
        <w:widowControl/>
        <w:numPr>
          <w:ilvl w:val="0"/>
          <w:numId w:val="0"/>
        </w:numPr>
        <w:tabs>
          <w:tab w:val="left" w:pos="606"/>
        </w:tabs>
        <w:kinsoku/>
        <w:wordWrap w:val="0"/>
        <w:overflowPunct/>
        <w:topLinePunct w:val="0"/>
        <w:autoSpaceDE/>
        <w:autoSpaceDN/>
        <w:bidi w:val="0"/>
        <w:adjustRightInd/>
        <w:snapToGrid/>
        <w:spacing w:line="360" w:lineRule="auto"/>
        <w:ind w:left="0" w:right="0" w:firstLine="482" w:firstLineChars="200"/>
        <w:jc w:val="left"/>
        <w:textAlignment w:val="auto"/>
        <w:rPr>
          <w:rFonts w:hint="eastAsia" w:ascii="宋体" w:hAnsi="宋体" w:eastAsia="宋体" w:cs="宋体"/>
          <w:b/>
          <w:sz w:val="24"/>
          <w:szCs w:val="24"/>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2"/>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Malgun Gothic">
    <w:panose1 w:val="020B0503020000020004"/>
    <w:charset w:val="81"/>
    <w:family w:val="auto"/>
    <w:pitch w:val="default"/>
    <w:sig w:usb0="9000002F" w:usb1="29D77CFB" w:usb2="00000012" w:usb3="00000000" w:csb0="00080001" w:csb1="00000000"/>
  </w:font>
  <w:font w:name="Calibri Light">
    <w:panose1 w:val="020F0302020204030204"/>
    <w:charset w:val="00"/>
    <w:family w:val="auto"/>
    <w:pitch w:val="default"/>
    <w:sig w:usb0="E0002AFF" w:usb1="C000247B" w:usb2="00000009" w:usb3="00000000" w:csb0="200001FF" w:csb1="00000000"/>
  </w:font>
  <w:font w:name="微软雅黑">
    <w:panose1 w:val="020B0503020204020204"/>
    <w:charset w:val="86"/>
    <w:family w:val="swiss"/>
    <w:pitch w:val="default"/>
    <w:sig w:usb0="80000287" w:usb1="28CF3C50" w:usb2="00000016" w:usb3="00000000" w:csb0="0004001F" w:csb1="00000000"/>
  </w:font>
  <w:font w:name="Arial Unicode MS">
    <w:altName w:val="宋体"/>
    <w:panose1 w:val="00000000000000000000"/>
    <w:charset w:val="86"/>
    <w:family w:val="roman"/>
    <w:pitch w:val="default"/>
    <w:sig w:usb0="00000000" w:usb1="00000000" w:usb2="00000000" w:usb3="00000000" w:csb0="00000000" w:csb1="00000000"/>
  </w:font>
  <w:font w:name="Cambria Math">
    <w:panose1 w:val="02040503050406030204"/>
    <w:charset w:val="00"/>
    <w:family w:val="auto"/>
    <w:pitch w:val="default"/>
    <w:sig w:usb0="E00002FF" w:usb1="42002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MS Mincho">
    <w:altName w:val="FFont-Family"/>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FFont-Family">
    <w:panose1 w:val="02000509000000000000"/>
    <w:charset w:val="00"/>
    <w:family w:val="auto"/>
    <w:pitch w:val="default"/>
    <w:sig w:usb0="00000001"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F000001"/>
    <w:multiLevelType w:val="multilevel"/>
    <w:tmpl w:val="2F000001"/>
    <w:lvl w:ilvl="0" w:tentative="0">
      <w:start w:val="1"/>
      <w:numFmt w:val="decimal"/>
      <w:suff w:val="nothing"/>
      <w:lvlText w:val="%1．"/>
      <w:lvlJc w:val="left"/>
      <w:pPr>
        <w:ind w:left="0" w:firstLine="400"/>
      </w:pPr>
      <w:rPr>
        <w:rFonts w:hint="default"/>
      </w:rPr>
    </w:lvl>
    <w:lvl w:ilvl="1" w:tentative="0">
      <w:start w:val="1"/>
      <w:numFmt w:val="decimal"/>
      <w:suff w:val="nothing"/>
      <w:lvlText w:val="%1．"/>
      <w:lvlJc w:val="left"/>
      <w:pPr>
        <w:ind w:left="0" w:firstLine="400"/>
      </w:pPr>
      <w:rPr>
        <w:rFonts w:hint="default"/>
      </w:rPr>
    </w:lvl>
    <w:lvl w:ilvl="2" w:tentative="0">
      <w:start w:val="1"/>
      <w:numFmt w:val="decimal"/>
      <w:suff w:val="nothing"/>
      <w:lvlText w:val="%1．"/>
      <w:lvlJc w:val="left"/>
      <w:pPr>
        <w:ind w:left="0" w:firstLine="400"/>
      </w:pPr>
      <w:rPr>
        <w:rFonts w:hint="default"/>
      </w:rPr>
    </w:lvl>
    <w:lvl w:ilvl="3" w:tentative="0">
      <w:start w:val="1"/>
      <w:numFmt w:val="decimal"/>
      <w:suff w:val="nothing"/>
      <w:lvlText w:val="%1．"/>
      <w:lvlJc w:val="left"/>
      <w:pPr>
        <w:ind w:left="0" w:firstLine="400"/>
      </w:pPr>
      <w:rPr>
        <w:rFonts w:hint="default"/>
      </w:rPr>
    </w:lvl>
    <w:lvl w:ilvl="4" w:tentative="0">
      <w:start w:val="1"/>
      <w:numFmt w:val="decimal"/>
      <w:suff w:val="nothing"/>
      <w:lvlText w:val="%1．"/>
      <w:lvlJc w:val="left"/>
      <w:pPr>
        <w:ind w:left="0" w:firstLine="400"/>
      </w:pPr>
      <w:rPr>
        <w:rFonts w:hint="default"/>
      </w:rPr>
    </w:lvl>
    <w:lvl w:ilvl="5" w:tentative="0">
      <w:start w:val="1"/>
      <w:numFmt w:val="decimal"/>
      <w:suff w:val="nothing"/>
      <w:lvlText w:val="%1．"/>
      <w:lvlJc w:val="left"/>
      <w:pPr>
        <w:ind w:left="0" w:firstLine="400"/>
      </w:pPr>
      <w:rPr>
        <w:rFonts w:hint="default"/>
      </w:rPr>
    </w:lvl>
    <w:lvl w:ilvl="6" w:tentative="0">
      <w:start w:val="1"/>
      <w:numFmt w:val="decimal"/>
      <w:suff w:val="nothing"/>
      <w:lvlText w:val="%1．"/>
      <w:lvlJc w:val="left"/>
      <w:pPr>
        <w:ind w:left="0" w:firstLine="400"/>
      </w:pPr>
      <w:rPr>
        <w:rFonts w:hint="default"/>
      </w:rPr>
    </w:lvl>
    <w:lvl w:ilvl="7" w:tentative="0">
      <w:start w:val="1"/>
      <w:numFmt w:val="decimal"/>
      <w:suff w:val="nothing"/>
      <w:lvlText w:val="%1．"/>
      <w:lvlJc w:val="left"/>
      <w:pPr>
        <w:ind w:left="0" w:firstLine="400"/>
      </w:pPr>
      <w:rPr>
        <w:rFonts w:hint="default"/>
      </w:rPr>
    </w:lvl>
    <w:lvl w:ilvl="8" w:tentative="0">
      <w:start w:val="1"/>
      <w:numFmt w:val="decimal"/>
      <w:suff w:val="nothing"/>
      <w:lvlText w:val="%1．"/>
      <w:lvlJc w:val="left"/>
      <w:pPr>
        <w:ind w:left="0" w:firstLine="400"/>
      </w:pPr>
      <w:rPr>
        <w:rFonts w:hint="default"/>
      </w:rPr>
    </w:lvl>
  </w:abstractNum>
  <w:abstractNum w:abstractNumId="1">
    <w:nsid w:val="2F000003"/>
    <w:multiLevelType w:val="multilevel"/>
    <w:tmpl w:val="2F000003"/>
    <w:lvl w:ilvl="0" w:tentative="0">
      <w:start w:val="2"/>
      <w:numFmt w:val="chineseCounting"/>
      <w:suff w:val="nothing"/>
      <w:lvlText w:val="%1、"/>
      <w:lvlJc w:val="left"/>
      <w:rPr>
        <w:rFonts w:hint="eastAsia"/>
      </w:rPr>
    </w:lvl>
    <w:lvl w:ilvl="1" w:tentative="0">
      <w:start w:val="2"/>
      <w:numFmt w:val="chineseCounting"/>
      <w:suff w:val="nothing"/>
      <w:lvlText w:val="%1、"/>
      <w:lvlJc w:val="left"/>
      <w:rPr>
        <w:rFonts w:hint="eastAsia"/>
      </w:rPr>
    </w:lvl>
    <w:lvl w:ilvl="2" w:tentative="0">
      <w:start w:val="2"/>
      <w:numFmt w:val="chineseCounting"/>
      <w:suff w:val="nothing"/>
      <w:lvlText w:val="%1、"/>
      <w:lvlJc w:val="left"/>
      <w:rPr>
        <w:rFonts w:hint="eastAsia"/>
      </w:rPr>
    </w:lvl>
    <w:lvl w:ilvl="3" w:tentative="0">
      <w:start w:val="2"/>
      <w:numFmt w:val="chineseCounting"/>
      <w:suff w:val="nothing"/>
      <w:lvlText w:val="%1、"/>
      <w:lvlJc w:val="left"/>
      <w:rPr>
        <w:rFonts w:hint="eastAsia"/>
      </w:rPr>
    </w:lvl>
    <w:lvl w:ilvl="4" w:tentative="0">
      <w:start w:val="2"/>
      <w:numFmt w:val="chineseCounting"/>
      <w:suff w:val="nothing"/>
      <w:lvlText w:val="%1、"/>
      <w:lvlJc w:val="left"/>
      <w:rPr>
        <w:rFonts w:hint="eastAsia"/>
      </w:rPr>
    </w:lvl>
    <w:lvl w:ilvl="5" w:tentative="0">
      <w:start w:val="2"/>
      <w:numFmt w:val="chineseCounting"/>
      <w:suff w:val="nothing"/>
      <w:lvlText w:val="%1、"/>
      <w:lvlJc w:val="left"/>
      <w:rPr>
        <w:rFonts w:hint="eastAsia"/>
      </w:rPr>
    </w:lvl>
    <w:lvl w:ilvl="6" w:tentative="0">
      <w:start w:val="2"/>
      <w:numFmt w:val="chineseCounting"/>
      <w:suff w:val="nothing"/>
      <w:lvlText w:val="%1、"/>
      <w:lvlJc w:val="left"/>
      <w:rPr>
        <w:rFonts w:hint="eastAsia"/>
      </w:rPr>
    </w:lvl>
    <w:lvl w:ilvl="7" w:tentative="0">
      <w:start w:val="2"/>
      <w:numFmt w:val="chineseCounting"/>
      <w:suff w:val="nothing"/>
      <w:lvlText w:val="%1、"/>
      <w:lvlJc w:val="left"/>
      <w:rPr>
        <w:rFonts w:hint="eastAsia"/>
      </w:rPr>
    </w:lvl>
    <w:lvl w:ilvl="8" w:tentative="0">
      <w:start w:val="2"/>
      <w:numFmt w:val="chineseCounting"/>
      <w:suff w:val="nothing"/>
      <w:lvlText w:val="%1、"/>
      <w:lvlJc w:val="left"/>
      <w:rPr>
        <w:rFonts w:hint="eastAsia"/>
      </w:rPr>
    </w:lvl>
  </w:abstractNum>
  <w:abstractNum w:abstractNumId="2">
    <w:nsid w:val="43B5E7C1"/>
    <w:multiLevelType w:val="singleLevel"/>
    <w:tmpl w:val="43B5E7C1"/>
    <w:lvl w:ilvl="0" w:tentative="0">
      <w:start w:val="14"/>
      <w:numFmt w:val="chineseCounting"/>
      <w:suff w:val="nothing"/>
      <w:lvlText w:val="%1、"/>
      <w:lvlJc w:val="left"/>
      <w:rPr>
        <w:rFonts w:hint="eastAsia"/>
      </w:rPr>
    </w:lvl>
  </w:abstractNum>
  <w:abstractNum w:abstractNumId="3">
    <w:nsid w:val="5C6A04CC"/>
    <w:multiLevelType w:val="singleLevel"/>
    <w:tmpl w:val="5C6A04CC"/>
    <w:lvl w:ilvl="0" w:tentative="0">
      <w:start w:val="1"/>
      <w:numFmt w:val="chineseCounting"/>
      <w:suff w:val="space"/>
      <w:lvlText w:val="第%1章"/>
      <w:lvlJc w:val="left"/>
      <w:rPr>
        <w:rFonts w:hint="eastAsia"/>
      </w:rPr>
    </w:lvl>
  </w:abstractNum>
  <w:abstractNum w:abstractNumId="4">
    <w:nsid w:val="631B7839"/>
    <w:multiLevelType w:val="singleLevel"/>
    <w:tmpl w:val="631B7839"/>
    <w:lvl w:ilvl="0" w:tentative="0">
      <w:start w:val="2"/>
      <w:numFmt w:val="decimal"/>
      <w:suff w:val="nothing"/>
      <w:lvlText w:val="（%1）"/>
      <w:lvlJc w:val="left"/>
    </w:lvl>
  </w:abstractNum>
  <w:abstractNum w:abstractNumId="5">
    <w:nsid w:val="6AA9C9E5"/>
    <w:multiLevelType w:val="singleLevel"/>
    <w:tmpl w:val="6AA9C9E5"/>
    <w:lvl w:ilvl="0" w:tentative="0">
      <w:start w:val="2"/>
      <w:numFmt w:val="chineseCounting"/>
      <w:suff w:val="nothing"/>
      <w:lvlText w:val="%1、"/>
      <w:lvlJc w:val="left"/>
      <w:rPr>
        <w:rFonts w:hint="eastAsia"/>
      </w:rPr>
    </w:lvl>
  </w:abstractNum>
  <w:num w:numId="1">
    <w:abstractNumId w:val="3"/>
  </w:num>
  <w:num w:numId="2">
    <w:abstractNumId w:val="5"/>
  </w:num>
  <w:num w:numId="3">
    <w:abstractNumId w:val="4"/>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compressPunctuation"/>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
  <w:docVars>
    <w:docVar w:name="commondata" w:val="eyJoZGlkIjoiM2I5YmQyM2VlMzIyNzg3MTM0MjMzMjczYWU0N2U3MTcifQ=="/>
  </w:docVars>
  <w:rsids>
    <w:rsidRoot w:val="00000000"/>
    <w:rsid w:val="00247386"/>
    <w:rsid w:val="002C273F"/>
    <w:rsid w:val="00556401"/>
    <w:rsid w:val="036C2F53"/>
    <w:rsid w:val="049C7878"/>
    <w:rsid w:val="05076A5B"/>
    <w:rsid w:val="06816E75"/>
    <w:rsid w:val="06B07F83"/>
    <w:rsid w:val="07EE0F70"/>
    <w:rsid w:val="080A65A2"/>
    <w:rsid w:val="081B095A"/>
    <w:rsid w:val="08C1733A"/>
    <w:rsid w:val="08CD140E"/>
    <w:rsid w:val="0D257E20"/>
    <w:rsid w:val="0DA07F51"/>
    <w:rsid w:val="0E7331C3"/>
    <w:rsid w:val="0F4E11A2"/>
    <w:rsid w:val="10D60D02"/>
    <w:rsid w:val="114A4798"/>
    <w:rsid w:val="11736C51"/>
    <w:rsid w:val="11AB1717"/>
    <w:rsid w:val="11EF4694"/>
    <w:rsid w:val="12B564BD"/>
    <w:rsid w:val="13CA2D3B"/>
    <w:rsid w:val="150E71F6"/>
    <w:rsid w:val="1696735F"/>
    <w:rsid w:val="16D52CED"/>
    <w:rsid w:val="16E14FBF"/>
    <w:rsid w:val="19545A30"/>
    <w:rsid w:val="198E5E9E"/>
    <w:rsid w:val="19BD2CB7"/>
    <w:rsid w:val="1B081C72"/>
    <w:rsid w:val="1BB9254A"/>
    <w:rsid w:val="1BFD6DB5"/>
    <w:rsid w:val="1CA63C50"/>
    <w:rsid w:val="1DCA77EF"/>
    <w:rsid w:val="1ED20D4A"/>
    <w:rsid w:val="1EEF1B50"/>
    <w:rsid w:val="20341AF8"/>
    <w:rsid w:val="2092329D"/>
    <w:rsid w:val="214C62A1"/>
    <w:rsid w:val="216D46C6"/>
    <w:rsid w:val="219306DB"/>
    <w:rsid w:val="224C6733"/>
    <w:rsid w:val="23507ADC"/>
    <w:rsid w:val="241F1D5F"/>
    <w:rsid w:val="24A7212A"/>
    <w:rsid w:val="25757733"/>
    <w:rsid w:val="26470B4A"/>
    <w:rsid w:val="266437D3"/>
    <w:rsid w:val="267A5F90"/>
    <w:rsid w:val="26915EA6"/>
    <w:rsid w:val="26DE053E"/>
    <w:rsid w:val="2731316E"/>
    <w:rsid w:val="274D7F79"/>
    <w:rsid w:val="276714E7"/>
    <w:rsid w:val="281659F6"/>
    <w:rsid w:val="293A1937"/>
    <w:rsid w:val="29D54044"/>
    <w:rsid w:val="2A783AB0"/>
    <w:rsid w:val="2B28723B"/>
    <w:rsid w:val="2B5C1706"/>
    <w:rsid w:val="2B8A6B32"/>
    <w:rsid w:val="2BAC4D24"/>
    <w:rsid w:val="2D1D3BDB"/>
    <w:rsid w:val="2D833519"/>
    <w:rsid w:val="2DFB03C5"/>
    <w:rsid w:val="2FC378C6"/>
    <w:rsid w:val="2FD9098F"/>
    <w:rsid w:val="2FDF17DF"/>
    <w:rsid w:val="302671DA"/>
    <w:rsid w:val="30D15875"/>
    <w:rsid w:val="32441EA5"/>
    <w:rsid w:val="3281623F"/>
    <w:rsid w:val="32944704"/>
    <w:rsid w:val="3436075B"/>
    <w:rsid w:val="34D54377"/>
    <w:rsid w:val="357A0FA3"/>
    <w:rsid w:val="378A70E6"/>
    <w:rsid w:val="37FC75FC"/>
    <w:rsid w:val="383D56F7"/>
    <w:rsid w:val="393C0F46"/>
    <w:rsid w:val="3E650D1D"/>
    <w:rsid w:val="3E9002A8"/>
    <w:rsid w:val="3F552A03"/>
    <w:rsid w:val="40A31F26"/>
    <w:rsid w:val="41033B7A"/>
    <w:rsid w:val="420B38E3"/>
    <w:rsid w:val="42E570EA"/>
    <w:rsid w:val="43523C38"/>
    <w:rsid w:val="43B51B88"/>
    <w:rsid w:val="44AA028A"/>
    <w:rsid w:val="45376F42"/>
    <w:rsid w:val="4603606C"/>
    <w:rsid w:val="46236E29"/>
    <w:rsid w:val="469A594D"/>
    <w:rsid w:val="47C04769"/>
    <w:rsid w:val="486160DA"/>
    <w:rsid w:val="489F057B"/>
    <w:rsid w:val="4A686022"/>
    <w:rsid w:val="4ABC14C5"/>
    <w:rsid w:val="4AED3729"/>
    <w:rsid w:val="4C422DF2"/>
    <w:rsid w:val="4E473895"/>
    <w:rsid w:val="4FAE4949"/>
    <w:rsid w:val="4FAE723C"/>
    <w:rsid w:val="4FB4704D"/>
    <w:rsid w:val="4FB664D2"/>
    <w:rsid w:val="50110E80"/>
    <w:rsid w:val="511070DA"/>
    <w:rsid w:val="525F3507"/>
    <w:rsid w:val="5277467D"/>
    <w:rsid w:val="53560822"/>
    <w:rsid w:val="557D67C8"/>
    <w:rsid w:val="56136A8F"/>
    <w:rsid w:val="56153F97"/>
    <w:rsid w:val="56866800"/>
    <w:rsid w:val="571E5CB6"/>
    <w:rsid w:val="576C6B11"/>
    <w:rsid w:val="57863DB7"/>
    <w:rsid w:val="58156ACB"/>
    <w:rsid w:val="58677144"/>
    <w:rsid w:val="59137211"/>
    <w:rsid w:val="5A17370E"/>
    <w:rsid w:val="5A7C4904"/>
    <w:rsid w:val="5A7F4E12"/>
    <w:rsid w:val="5C344BB6"/>
    <w:rsid w:val="5DFF20EB"/>
    <w:rsid w:val="5E1C5429"/>
    <w:rsid w:val="5E233CDF"/>
    <w:rsid w:val="5E744882"/>
    <w:rsid w:val="5ED418C8"/>
    <w:rsid w:val="5EE36D23"/>
    <w:rsid w:val="5EF71E76"/>
    <w:rsid w:val="5F0C0F9F"/>
    <w:rsid w:val="611A0552"/>
    <w:rsid w:val="616C33F6"/>
    <w:rsid w:val="6212481D"/>
    <w:rsid w:val="62DE1443"/>
    <w:rsid w:val="62E24E32"/>
    <w:rsid w:val="631D612B"/>
    <w:rsid w:val="64A55108"/>
    <w:rsid w:val="64E47B74"/>
    <w:rsid w:val="65724AA6"/>
    <w:rsid w:val="6585763E"/>
    <w:rsid w:val="65A85339"/>
    <w:rsid w:val="661108EC"/>
    <w:rsid w:val="665F0BE6"/>
    <w:rsid w:val="669049D8"/>
    <w:rsid w:val="67D14995"/>
    <w:rsid w:val="680272B9"/>
    <w:rsid w:val="68204E22"/>
    <w:rsid w:val="68BD20F9"/>
    <w:rsid w:val="6C0D60E9"/>
    <w:rsid w:val="6C36144B"/>
    <w:rsid w:val="6C951E77"/>
    <w:rsid w:val="6CF91F25"/>
    <w:rsid w:val="6D4F63E7"/>
    <w:rsid w:val="6E2E21FA"/>
    <w:rsid w:val="6EF0008F"/>
    <w:rsid w:val="6F236889"/>
    <w:rsid w:val="6F2A4AF9"/>
    <w:rsid w:val="6F3911E0"/>
    <w:rsid w:val="6F5104C0"/>
    <w:rsid w:val="6F7A7F8F"/>
    <w:rsid w:val="704F20EA"/>
    <w:rsid w:val="70CD0FAF"/>
    <w:rsid w:val="710F0089"/>
    <w:rsid w:val="719B7B32"/>
    <w:rsid w:val="71DA20A9"/>
    <w:rsid w:val="72D20C3B"/>
    <w:rsid w:val="73B70B6D"/>
    <w:rsid w:val="75080C92"/>
    <w:rsid w:val="75554A93"/>
    <w:rsid w:val="764374DD"/>
    <w:rsid w:val="76B56870"/>
    <w:rsid w:val="76B838A9"/>
    <w:rsid w:val="78564BB1"/>
    <w:rsid w:val="79003D12"/>
    <w:rsid w:val="7A8D5099"/>
    <w:rsid w:val="7BB21433"/>
    <w:rsid w:val="7D1D14B5"/>
    <w:rsid w:val="7D582F68"/>
    <w:rsid w:val="7F112C06"/>
    <w:rsid w:val="7F14040A"/>
    <w:rsid w:val="7F215BB4"/>
    <w:rsid w:val="7F5512D4"/>
  </w:rsids>
  <m:mathPr>
    <m:brkBin m:val="before"/>
    <m:brkBinSub m:val="--"/>
    <m:smallFrac m:val="1"/>
    <m:dispDef/>
    <m:lMargin m:val="1440"/>
    <m:rMargin m:val="144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7" w:semiHidden="0" w:name="heading 1"/>
    <w:lsdException w:qFormat="1" w:uiPriority="8"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152" w:semiHidden="0" w:name="header"/>
    <w:lsdException w:qFormat="1" w:unhideWhenUsed="0" w:uiPriority="151"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2"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153"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3"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7"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6"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7"/>
    <w:autoRedefine/>
    <w:qFormat/>
    <w:uiPriority w:val="1"/>
    <w:pPr>
      <w:jc w:val="both"/>
    </w:pPr>
    <w:rPr>
      <w:rFonts w:asciiTheme="minorHAnsi" w:hAnsiTheme="minorHAnsi" w:eastAsiaTheme="minorEastAsia" w:cstheme="minorBidi"/>
      <w:sz w:val="21"/>
      <w:szCs w:val="21"/>
      <w:lang w:val="en-US" w:eastAsia="zh-CN" w:bidi="ar-SA"/>
    </w:rPr>
  </w:style>
  <w:style w:type="paragraph" w:styleId="2">
    <w:name w:val="heading 1"/>
    <w:basedOn w:val="1"/>
    <w:next w:val="1"/>
    <w:autoRedefine/>
    <w:qFormat/>
    <w:uiPriority w:val="7"/>
    <w:pPr>
      <w:spacing w:before="340" w:after="330" w:line="578" w:lineRule="auto"/>
      <w:outlineLvl w:val="0"/>
    </w:pPr>
    <w:rPr>
      <w:b/>
      <w:sz w:val="44"/>
      <w:szCs w:val="44"/>
    </w:rPr>
  </w:style>
  <w:style w:type="paragraph" w:styleId="3">
    <w:name w:val="heading 2"/>
    <w:basedOn w:val="1"/>
    <w:next w:val="1"/>
    <w:unhideWhenUsed/>
    <w:qFormat/>
    <w:uiPriority w:val="8"/>
    <w:pPr>
      <w:spacing w:before="260" w:after="260" w:line="415" w:lineRule="auto"/>
      <w:outlineLvl w:val="1"/>
    </w:pPr>
    <w:rPr>
      <w:rFonts w:asciiTheme="majorHAnsi" w:hAnsiTheme="majorHAnsi" w:eastAsiaTheme="majorEastAsia" w:cstheme="minorBidi"/>
      <w:b/>
      <w:sz w:val="32"/>
      <w:szCs w:val="32"/>
    </w:rPr>
  </w:style>
  <w:style w:type="paragraph" w:styleId="4">
    <w:name w:val="heading 3"/>
    <w:basedOn w:val="1"/>
    <w:next w:val="1"/>
    <w:unhideWhenUsed/>
    <w:qFormat/>
    <w:uiPriority w:val="0"/>
    <w:pPr>
      <w:jc w:val="left"/>
      <w:outlineLvl w:val="2"/>
    </w:pPr>
    <w:rPr>
      <w:rFonts w:hint="eastAsia" w:ascii="宋体" w:hAnsi="宋体" w:cs="Times New Roman"/>
      <w:b/>
      <w:kern w:val="0"/>
      <w:sz w:val="16"/>
      <w:szCs w:val="16"/>
    </w:rPr>
  </w:style>
  <w:style w:type="character" w:default="1" w:styleId="14">
    <w:name w:val="Default Paragraph Font"/>
    <w:autoRedefine/>
    <w:semiHidden/>
    <w:qFormat/>
    <w:uiPriority w:val="2"/>
  </w:style>
  <w:style w:type="table" w:default="1" w:styleId="12">
    <w:name w:val="Normal Table"/>
    <w:semiHidden/>
    <w:qFormat/>
    <w:uiPriority w:val="3"/>
    <w:tblPr>
      <w:tblCellMar>
        <w:top w:w="0" w:type="dxa"/>
        <w:left w:w="108" w:type="dxa"/>
        <w:bottom w:w="0" w:type="dxa"/>
        <w:right w:w="108" w:type="dxa"/>
      </w:tblCellMar>
    </w:tblPr>
  </w:style>
  <w:style w:type="paragraph" w:styleId="5">
    <w:name w:val="Body Text"/>
    <w:basedOn w:val="1"/>
    <w:next w:val="6"/>
    <w:qFormat/>
    <w:uiPriority w:val="1"/>
    <w:rPr>
      <w:rFonts w:ascii="微软雅黑" w:hAnsi="微软雅黑" w:eastAsia="微软雅黑" w:cs="微软雅黑"/>
      <w:sz w:val="15"/>
      <w:szCs w:val="15"/>
      <w:lang w:val="zh-CN" w:bidi="zh-CN"/>
    </w:rPr>
  </w:style>
  <w:style w:type="paragraph" w:styleId="6">
    <w:name w:val="toc 2"/>
    <w:basedOn w:val="1"/>
    <w:next w:val="1"/>
    <w:qFormat/>
    <w:uiPriority w:val="39"/>
    <w:pPr>
      <w:ind w:left="210"/>
      <w:jc w:val="left"/>
    </w:pPr>
    <w:rPr>
      <w:rFonts w:ascii="Calibri" w:hAnsi="Calibri"/>
      <w:smallCaps/>
      <w:sz w:val="20"/>
    </w:rPr>
  </w:style>
  <w:style w:type="paragraph" w:styleId="7">
    <w:name w:val="Plain Text"/>
    <w:basedOn w:val="8"/>
    <w:next w:val="1"/>
    <w:qFormat/>
    <w:uiPriority w:val="0"/>
    <w:rPr>
      <w:rFonts w:ascii="宋体" w:hAnsi="Courier New"/>
    </w:rPr>
  </w:style>
  <w:style w:type="paragraph" w:customStyle="1" w:styleId="8">
    <w:name w:val="Normal_6"/>
    <w:next w:val="7"/>
    <w:qFormat/>
    <w:uiPriority w:val="0"/>
    <w:pPr>
      <w:widowControl w:val="0"/>
      <w:jc w:val="both"/>
    </w:pPr>
    <w:rPr>
      <w:rFonts w:ascii="Times New Roman" w:hAnsi="Times New Roman" w:eastAsia="宋体" w:cs="Times New Roman"/>
      <w:kern w:val="2"/>
      <w:sz w:val="21"/>
      <w:lang w:val="en-US" w:eastAsia="zh-CN" w:bidi="ar-SA"/>
    </w:rPr>
  </w:style>
  <w:style w:type="paragraph" w:styleId="9">
    <w:name w:val="footer"/>
    <w:basedOn w:val="1"/>
    <w:qFormat/>
    <w:uiPriority w:val="151"/>
    <w:pPr>
      <w:tabs>
        <w:tab w:val="center" w:pos="4153"/>
        <w:tab w:val="right" w:pos="8306"/>
      </w:tabs>
      <w:snapToGrid w:val="0"/>
      <w:jc w:val="left"/>
    </w:pPr>
    <w:rPr>
      <w:sz w:val="18"/>
      <w:szCs w:val="18"/>
    </w:rPr>
  </w:style>
  <w:style w:type="paragraph" w:styleId="10">
    <w:name w:val="header"/>
    <w:basedOn w:val="1"/>
    <w:next w:val="5"/>
    <w:qFormat/>
    <w:uiPriority w:val="152"/>
    <w:pPr>
      <w:pBdr>
        <w:top w:val="none" w:color="000000" w:sz="0" w:space="1"/>
        <w:left w:val="none" w:color="000000" w:sz="0" w:space="4"/>
        <w:bottom w:val="none" w:color="000000" w:sz="0" w:space="1"/>
        <w:right w:val="none" w:color="000000" w:sz="0" w:space="4"/>
      </w:pBdr>
      <w:tabs>
        <w:tab w:val="center" w:pos="4153"/>
        <w:tab w:val="right" w:pos="8306"/>
      </w:tabs>
      <w:snapToGrid w:val="0"/>
      <w:spacing w:line="240" w:lineRule="auto"/>
      <w:jc w:val="both"/>
      <w:outlineLvl w:val="9"/>
    </w:pPr>
    <w:rPr>
      <w:sz w:val="18"/>
      <w:szCs w:val="18"/>
    </w:rPr>
  </w:style>
  <w:style w:type="paragraph" w:styleId="11">
    <w:name w:val="Normal (Web)"/>
    <w:basedOn w:val="1"/>
    <w:autoRedefine/>
    <w:qFormat/>
    <w:uiPriority w:val="153"/>
    <w:pPr>
      <w:spacing w:before="0" w:beforeAutospacing="1" w:after="0" w:afterAutospacing="1"/>
      <w:ind w:left="0" w:right="0" w:firstLine="0"/>
      <w:jc w:val="left"/>
    </w:pPr>
    <w:rPr>
      <w:sz w:val="24"/>
      <w:szCs w:val="24"/>
      <w:lang w:val="en-US" w:eastAsia="zh-CN" w:bidi="zh-CN"/>
    </w:rPr>
  </w:style>
  <w:style w:type="table" w:styleId="13">
    <w:name w:val="Table Grid"/>
    <w:basedOn w:val="12"/>
    <w:autoRedefine/>
    <w:qFormat/>
    <w:uiPriority w:val="37"/>
    <w:rPr>
      <w:rFonts w:ascii="Calibri" w:hAnsi="Calibri" w:eastAsia="宋体"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rPr>
  </w:style>
  <w:style w:type="paragraph" w:styleId="16">
    <w:name w:val="List Paragraph"/>
    <w:basedOn w:val="1"/>
    <w:qFormat/>
    <w:uiPriority w:val="26"/>
    <w:pPr>
      <w:ind w:firstLine="200"/>
    </w:pPr>
    <w:rPr>
      <w:rFonts w:ascii="Times New Roman" w:hAnsi="Times New Roman" w:eastAsia="宋体" w:cs="Times New Roman"/>
      <w:sz w:val="28"/>
      <w:szCs w:val="28"/>
    </w:rPr>
  </w:style>
  <w:style w:type="character" w:customStyle="1" w:styleId="17">
    <w:name w:val="NormalCharacter"/>
    <w:link w:val="1"/>
    <w:autoRedefine/>
    <w:qFormat/>
    <w:uiPriority w:val="154"/>
    <w:rPr>
      <w:rFonts w:asciiTheme="minorHAnsi" w:hAnsiTheme="minorHAnsi" w:eastAsiaTheme="minorEastAsia" w:cstheme="minorBidi"/>
      <w:sz w:val="21"/>
      <w:szCs w:val="21"/>
      <w:lang w:val="en-US" w:eastAsia="zh-CN" w:bidi="ar-SA"/>
    </w:rPr>
  </w:style>
  <w:style w:type="character" w:customStyle="1" w:styleId="18">
    <w:name w:val="font11"/>
    <w:basedOn w:val="14"/>
    <w:autoRedefine/>
    <w:qFormat/>
    <w:uiPriority w:val="0"/>
    <w:rPr>
      <w:rFonts w:hint="eastAsia" w:ascii="宋体" w:hAnsi="宋体" w:eastAsia="宋体" w:cs="宋体"/>
      <w:color w:val="000000"/>
      <w:sz w:val="24"/>
      <w:szCs w:val="24"/>
      <w:u w:val="none"/>
    </w:rPr>
  </w:style>
  <w:style w:type="character" w:customStyle="1" w:styleId="19">
    <w:name w:val="font31"/>
    <w:basedOn w:val="14"/>
    <w:autoRedefine/>
    <w:qFormat/>
    <w:uiPriority w:val="0"/>
    <w:rPr>
      <w:rFonts w:hint="eastAsia" w:ascii="宋体" w:hAnsi="宋体" w:eastAsia="宋体" w:cs="宋体"/>
      <w:color w:val="000000"/>
      <w:sz w:val="21"/>
      <w:szCs w:val="21"/>
      <w:u w:val="none"/>
    </w:rPr>
  </w:style>
  <w:style w:type="paragraph" w:customStyle="1" w:styleId="20">
    <w:name w:val="List Paragraph_4824d229-415e-4c56-a884-f4834b61f8de"/>
    <w:basedOn w:val="1"/>
    <w:autoRedefine/>
    <w:qFormat/>
    <w:uiPriority w:val="34"/>
    <w:pPr>
      <w:ind w:firstLine="420" w:firstLineChars="200"/>
    </w:pPr>
    <w:rPr>
      <w:rFonts w:ascii="Times New Roman" w:hAnsi="Times New Roman" w:eastAsia="宋体" w:cs="Times New Roman"/>
      <w:sz w:val="28"/>
      <w:szCs w:val="21"/>
    </w:rPr>
  </w:style>
  <w:style w:type="character" w:customStyle="1" w:styleId="21">
    <w:name w:val="font41"/>
    <w:basedOn w:val="14"/>
    <w:autoRedefine/>
    <w:qFormat/>
    <w:uiPriority w:val="0"/>
    <w:rPr>
      <w:rFonts w:ascii="Calibri" w:hAnsi="Calibri" w:cs="Calibri"/>
      <w:color w:val="000000"/>
      <w:sz w:val="28"/>
      <w:szCs w:val="28"/>
      <w:u w:val="none"/>
    </w:rPr>
  </w:style>
  <w:style w:type="character" w:customStyle="1" w:styleId="22">
    <w:name w:val="font21"/>
    <w:basedOn w:val="14"/>
    <w:autoRedefine/>
    <w:qFormat/>
    <w:uiPriority w:val="0"/>
    <w:rPr>
      <w:rFonts w:hint="eastAsia" w:ascii="宋体" w:hAnsi="宋体" w:eastAsia="宋体" w:cs="宋体"/>
      <w:color w:val="000000"/>
      <w:sz w:val="21"/>
      <w:szCs w:val="21"/>
      <w:u w:val="none"/>
    </w:rPr>
  </w:style>
  <w:style w:type="table" w:customStyle="1" w:styleId="23">
    <w:name w:val="网格型1"/>
    <w:basedOn w:val="24"/>
    <w:qFormat/>
    <w:uiPriority w:val="0"/>
    <w:pPr>
      <w:widowControl w:val="0"/>
      <w:jc w:val="both"/>
    </w:pPr>
  </w:style>
  <w:style w:type="table" w:customStyle="1" w:styleId="24">
    <w:name w:val="普通表格1"/>
    <w:semiHidden/>
    <w:qFormat/>
    <w:uiPriority w:val="0"/>
  </w:style>
  <w:style w:type="paragraph" w:customStyle="1" w:styleId="25">
    <w:name w:val="正文 A"/>
    <w:qFormat/>
    <w:uiPriority w:val="0"/>
    <w:pPr>
      <w:keepNext w:val="0"/>
      <w:keepLines w:val="0"/>
      <w:pageBreakBefore w:val="0"/>
      <w:framePr w:wrap="auto" w:vAnchor="margin" w:hAnchor="text" w:yAlign="inline"/>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both"/>
      <w:outlineLvl w:val="9"/>
    </w:pPr>
    <w:rPr>
      <w:rFonts w:hint="eastAsia" w:ascii="Arial Unicode MS" w:hAnsi="Arial Unicode MS" w:eastAsia="Arial Unicode MS" w:cs="Arial Unicode MS"/>
      <w:color w:val="000000"/>
      <w:spacing w:val="0"/>
      <w:w w:val="100"/>
      <w:kern w:val="2"/>
      <w:position w:val="0"/>
      <w:sz w:val="21"/>
      <w:szCs w:val="21"/>
      <w:u w:val="none" w:color="000000"/>
      <w:shd w:val="clear" w:color="auto" w:fill="auto"/>
      <w:vertAlign w:val="baseline"/>
      <w:lang w:val="en-US"/>
    </w:rPr>
  </w:style>
  <w:style w:type="paragraph" w:customStyle="1" w:styleId="26">
    <w:name w:val="段"/>
    <w:qFormat/>
    <w:uiPriority w:val="0"/>
    <w:pPr>
      <w:autoSpaceDE w:val="0"/>
      <w:autoSpaceDN w:val="0"/>
      <w:ind w:firstLine="420" w:firstLineChars="200"/>
      <w:jc w:val="both"/>
    </w:pPr>
    <w:rPr>
      <w:rFonts w:ascii="宋体" w:hAnsi="Calibri" w:eastAsia="宋体" w:cs="Times New Roman"/>
      <w:sz w:val="21"/>
      <w:szCs w:val="22"/>
      <w:lang w:val="en-US" w:eastAsia="zh-CN" w:bidi="ar-SA"/>
    </w:rPr>
  </w:style>
  <w:style w:type="paragraph" w:customStyle="1" w:styleId="27">
    <w:name w:val="列出段落1"/>
    <w:basedOn w:val="1"/>
    <w:qFormat/>
    <w:uiPriority w:val="34"/>
    <w:pPr>
      <w:ind w:firstLine="420" w:firstLineChars="200"/>
    </w:pPr>
    <w:rPr>
      <w:rFonts w:ascii="Times New Roman" w:hAnsi="Times New Roman" w:eastAsia="宋体" w:cs="Times New Roman"/>
      <w:sz w:val="28"/>
      <w:szCs w:val="21"/>
    </w:rPr>
  </w:style>
  <w:style w:type="paragraph" w:customStyle="1" w:styleId="28">
    <w:name w:val="列表段落2"/>
    <w:basedOn w:val="1"/>
    <w:qFormat/>
    <w:uiPriority w:val="0"/>
    <w:pPr>
      <w:ind w:firstLine="420" w:firstLineChars="200"/>
    </w:pPr>
    <w:rPr>
      <w:rFonts w:ascii="Calibri" w:hAnsi="Calibri" w:eastAsia="宋体" w:cs="Times New Roman"/>
    </w:rPr>
  </w:style>
  <w:style w:type="paragraph" w:customStyle="1" w:styleId="29">
    <w:name w:val="Table Text"/>
    <w:basedOn w:val="1"/>
    <w:semiHidden/>
    <w:qFormat/>
    <w:uiPriority w:val="0"/>
    <w:pPr>
      <w:widowControl/>
      <w:kinsoku w:val="0"/>
      <w:autoSpaceDE w:val="0"/>
      <w:autoSpaceDN w:val="0"/>
      <w:adjustRightInd w:val="0"/>
      <w:snapToGrid w:val="0"/>
      <w:spacing w:after="160"/>
      <w:jc w:val="left"/>
      <w:textAlignment w:val="baseline"/>
    </w:pPr>
    <w:rPr>
      <w:rFonts w:ascii="宋体" w:hAnsi="宋体" w:cs="宋体"/>
      <w:snapToGrid w:val="0"/>
      <w:color w:val="000000"/>
      <w:kern w:val="0"/>
      <w:sz w:val="24"/>
      <w:lang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30</Pages>
  <Words>42</Words>
  <Characters>47</Characters>
  <Lines>0</Lines>
  <Paragraphs>0</Paragraphs>
  <TotalTime>12</TotalTime>
  <ScaleCrop>false</ScaleCrop>
  <LinksUpToDate>false</LinksUpToDate>
  <CharactersWithSpaces>75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2021-03-10T01:37:00Z</dcterms:created>
  <dc:creator>丫丫1383477281</dc:creator>
  <cp:lastModifiedBy>朵妙</cp:lastModifiedBy>
  <dcterms:modified xsi:type="dcterms:W3CDTF">2026-11-05T03:03:48Z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6AB4313881C54DEBAD5471026A4AD301_13</vt:lpwstr>
  </property>
  <property fmtid="{D5CDD505-2E9C-101B-9397-08002B2CF9AE}" pid="4" name="commondata">
    <vt:lpwstr>eyJoZGlkIjoiM2I5YmQyM2VlMzIyNzg3MTM0MjMzMjczYWU0N2U3MTcifQ==</vt:lpwstr>
  </property>
  <property fmtid="{D5CDD505-2E9C-101B-9397-08002B2CF9AE}" pid="5" name="KSOTemplateDocerSaveRecord">
    <vt:lpwstr>eyJoZGlkIjoiOGUwZTkxNzBjMTU4ZmMyZjI2Y2Y1NWU2MTQ1OGIwMzUiLCJ1c2VySWQiOiI3MDM3OTc0MTQifQ==</vt:lpwstr>
  </property>
</Properties>
</file>